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Oven</w:t>
      </w:r>
      <w:r>
        <w:rPr>
          <w:lang w:val="en_US" w:bidi="en_US"/>
        </w:rPr>
      </w:r>
    </w:p>
    <w:p>
      <w:pPr>
        <w:pStyle w:val="Heading1"/>
      </w:pPr>
      <w:r>
        <w:rPr>
          <w:lang w:val="en_US" w:bidi="en_US"/>
        </w:rPr>
        <w:t>5.11</w:t>
      </w:r>
      <w:r>
        <w:rPr>
          <w:lang w:val="en_US" w:bidi="en_US"/>
        </w:rPr>
        <w:t xml:space="preserve"> Oven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תַּנּוּר</w:t>
      </w:r>
      <w:r>
        <w:rPr>
          <w:lang w:val="en_US" w:bidi="en_US"/>
        </w:rPr>
        <w:t xml:space="preserve"> </w:t>
      </w:r>
      <w:r>
        <w:rPr>
          <w:lang w:val="en_US" w:bidi="en_US"/>
        </w:rPr>
        <w:t>(tanur)</w:t>
      </w:r>
      <w:r>
        <w:rPr>
          <w:lang w:val="en_US" w:bidi="en_US"/>
        </w:rPr>
      </w:r>
      <w:hyperlink r:id="rId14">
        <w:r>
          <w:rPr>
            <w:lang w:val="en_US" w:bidi="en_US"/>
          </w:rPr>
          <w:rPr>
            <w:color w:val="0000EE"/>
            <w:u w:val="single"/>
          </w:rPr>
          <w:t>GEN 15:17</w:t>
        </w:r>
      </w:hyperlink>
      <w:r>
        <w:rPr>
          <w:lang w:val="en_US" w:bidi="en_US"/>
        </w:rPr>
        <w:t xml:space="preserve">, </w:t>
      </w:r>
      <w:hyperlink r:id="rId15">
        <w:r>
          <w:rPr>
            <w:lang w:val="en_US" w:bidi="en_US"/>
          </w:rPr>
          <w:rPr>
            <w:color w:val="0000EE"/>
            <w:u w:val="single"/>
          </w:rPr>
          <w:t>EXO 7:28</w:t>
        </w:r>
      </w:hyperlink>
      <w:r>
        <w:rPr>
          <w:lang w:val="en_US" w:bidi="en_US"/>
        </w:rPr>
        <w:t xml:space="preserve">, </w:t>
      </w:r>
      <w:hyperlink r:id="rId16">
        <w:r>
          <w:rPr>
            <w:lang w:val="en_US" w:bidi="en_US"/>
          </w:rPr>
          <w:rPr>
            <w:color w:val="0000EE"/>
            <w:u w:val="single"/>
          </w:rPr>
          <w:t>LEV 2:4</w:t>
        </w:r>
      </w:hyperlink>
      <w:r>
        <w:rPr>
          <w:lang w:val="en_US" w:bidi="en_US"/>
        </w:rPr>
        <w:t xml:space="preserve">, </w:t>
      </w:r>
      <w:hyperlink r:id="rId17">
        <w:r>
          <w:rPr>
            <w:lang w:val="en_US" w:bidi="en_US"/>
          </w:rPr>
          <w:rPr>
            <w:color w:val="0000EE"/>
            <w:u w:val="single"/>
          </w:rPr>
          <w:t>LEV 7:9</w:t>
        </w:r>
      </w:hyperlink>
      <w:r>
        <w:rPr>
          <w:lang w:val="en_US" w:bidi="en_US"/>
        </w:rPr>
        <w:t xml:space="preserve">, </w:t>
      </w:r>
      <w:hyperlink r:id="rId18">
        <w:r>
          <w:rPr>
            <w:lang w:val="en_US" w:bidi="en_US"/>
          </w:rPr>
          <w:rPr>
            <w:color w:val="0000EE"/>
            <w:u w:val="single"/>
          </w:rPr>
          <w:t>LEV 11:35</w:t>
        </w:r>
      </w:hyperlink>
      <w:r>
        <w:rPr>
          <w:lang w:val="en_US" w:bidi="en_US"/>
        </w:rPr>
        <w:t xml:space="preserve">, </w:t>
      </w:r>
      <w:hyperlink r:id="rId19">
        <w:r>
          <w:rPr>
            <w:lang w:val="en_US" w:bidi="en_US"/>
          </w:rPr>
          <w:rPr>
            <w:color w:val="0000EE"/>
            <w:u w:val="single"/>
          </w:rPr>
          <w:t>LEV 26:26</w:t>
        </w:r>
      </w:hyperlink>
      <w:r>
        <w:rPr>
          <w:lang w:val="en_US" w:bidi="en_US"/>
        </w:rPr>
        <w:t xml:space="preserve">, </w:t>
      </w:r>
      <w:hyperlink r:id="rId20">
        <w:r>
          <w:rPr>
            <w:lang w:val="en_US" w:bidi="en_US"/>
          </w:rPr>
          <w:rPr>
            <w:color w:val="0000EE"/>
            <w:u w:val="single"/>
          </w:rPr>
          <w:t>NEH 3:11</w:t>
        </w:r>
      </w:hyperlink>
      <w:r>
        <w:rPr>
          <w:lang w:val="en_US" w:bidi="en_US"/>
        </w:rPr>
        <w:t xml:space="preserve">, </w:t>
      </w:r>
      <w:hyperlink r:id="rId21">
        <w:r>
          <w:rPr>
            <w:lang w:val="en_US" w:bidi="en_US"/>
          </w:rPr>
          <w:rPr>
            <w:color w:val="0000EE"/>
            <w:u w:val="single"/>
          </w:rPr>
          <w:t>NEH 12:38</w:t>
        </w:r>
      </w:hyperlink>
      <w:r>
        <w:rPr>
          <w:lang w:val="en_US" w:bidi="en_US"/>
        </w:rPr>
        <w:t xml:space="preserve">, </w:t>
      </w:r>
      <w:hyperlink r:id="rId22">
        <w:r>
          <w:rPr>
            <w:lang w:val="en_US" w:bidi="en_US"/>
          </w:rPr>
          <w:rPr>
            <w:color w:val="0000EE"/>
            <w:u w:val="single"/>
          </w:rPr>
          <w:t>PSA 21:10</w:t>
        </w:r>
      </w:hyperlink>
      <w:r>
        <w:rPr>
          <w:lang w:val="en_US" w:bidi="en_US"/>
        </w:rPr>
        <w:t xml:space="preserve">, </w:t>
      </w:r>
      <w:hyperlink r:id="rId23">
        <w:r>
          <w:rPr>
            <w:lang w:val="en_US" w:bidi="en_US"/>
          </w:rPr>
          <w:rPr>
            <w:color w:val="0000EE"/>
            <w:u w:val="single"/>
          </w:rPr>
          <w:t>ISA 31:9</w:t>
        </w:r>
      </w:hyperlink>
      <w:r>
        <w:rPr>
          <w:lang w:val="en_US" w:bidi="en_US"/>
        </w:rPr>
        <w:t xml:space="preserve">, </w:t>
      </w:r>
      <w:hyperlink r:id="rId24">
        <w:r>
          <w:rPr>
            <w:lang w:val="en_US" w:bidi="en_US"/>
          </w:rPr>
          <w:rPr>
            <w:color w:val="0000EE"/>
            <w:u w:val="single"/>
          </w:rPr>
          <w:t>LAM 5:10</w:t>
        </w:r>
      </w:hyperlink>
      <w:r>
        <w:rPr>
          <w:lang w:val="en_US" w:bidi="en_US"/>
        </w:rPr>
        <w:t xml:space="preserve">, </w:t>
      </w:r>
      <w:hyperlink r:id="rId25">
        <w:r>
          <w:rPr>
            <w:lang w:val="en_US" w:bidi="en_US"/>
          </w:rPr>
          <w:rPr>
            <w:color w:val="0000EE"/>
            <w:u w:val="single"/>
          </w:rPr>
          <w:t>HOS 7:4</w:t>
        </w:r>
      </w:hyperlink>
      <w:r>
        <w:rPr>
          <w:lang w:val="en_US" w:bidi="en_US"/>
        </w:rPr>
        <w:t xml:space="preserve">, </w:t>
      </w:r>
      <w:hyperlink r:id="rId26">
        <w:r>
          <w:rPr>
            <w:lang w:val="en_US" w:bidi="en_US"/>
          </w:rPr>
          <w:rPr>
            <w:color w:val="0000EE"/>
            <w:u w:val="single"/>
          </w:rPr>
          <w:t>HOS 7:6</w:t>
        </w:r>
      </w:hyperlink>
      <w:r>
        <w:rPr>
          <w:lang w:val="en_US" w:bidi="en_US"/>
        </w:rPr>
        <w:t xml:space="preserve">, </w:t>
      </w:r>
      <w:hyperlink r:id="rId27">
        <w:r>
          <w:rPr>
            <w:lang w:val="en_US" w:bidi="en_US"/>
          </w:rPr>
          <w:rPr>
            <w:color w:val="0000EE"/>
            <w:u w:val="single"/>
          </w:rPr>
          <w:t>HOS 7:7</w:t>
        </w:r>
      </w:hyperlink>
      <w:r>
        <w:rPr>
          <w:lang w:val="en_US" w:bidi="en_US"/>
        </w:rPr>
        <w:t xml:space="preserve">, </w:t>
      </w:r>
      <w:hyperlink r:id="rId28">
        <w:r>
          <w:rPr>
            <w:lang w:val="en_US" w:bidi="en_US"/>
          </w:rPr>
          <w:rPr>
            <w:color w:val="0000EE"/>
            <w:u w:val="single"/>
          </w:rPr>
          <w:t>MAL 3:19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κλίβανος</w:t>
      </w:r>
      <w:r>
        <w:rPr>
          <w:lang w:val="en_US" w:bidi="en_US"/>
        </w:rPr>
        <w:t xml:space="preserve"> </w:t>
      </w:r>
      <w:r>
        <w:rPr>
          <w:lang w:val="en_US" w:bidi="en_US"/>
        </w:rPr>
        <w:t>(klibanos)</w:t>
      </w:r>
      <w:r>
        <w:rPr>
          <w:lang w:val="en_US" w:bidi="en_US"/>
        </w:rPr>
      </w:r>
      <w:hyperlink r:id="rId29">
        <w:r>
          <w:rPr>
            <w:lang w:val="en_US" w:bidi="en_US"/>
          </w:rPr>
          <w:rPr>
            <w:color w:val="0000EE"/>
            <w:u w:val="single"/>
          </w:rPr>
          <w:t>MAT 6:30</w:t>
        </w:r>
      </w:hyperlink>
      <w:r>
        <w:rPr>
          <w:lang w:val="en_US" w:bidi="en_US"/>
        </w:rPr>
        <w:t xml:space="preserve">, </w:t>
      </w:r>
      <w:hyperlink r:id="rId30">
        <w:r>
          <w:rPr>
            <w:lang w:val="en_US" w:bidi="en_US"/>
          </w:rPr>
          <w:rPr>
            <w:color w:val="0000EE"/>
            <w:u w:val="single"/>
          </w:rPr>
          <w:t>LUK 12:28</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 xml:space="preserve">The oven was an implement for cooking food. Ovens were made of hardened clay or brick. They could vary in size and shape. An oven in an average home was roughly 50 centimeters (20 inches) in diameter. In the winter the oven could also serve the purpose of heating a small house. See also </w:t>
      </w:r>
      <w:hyperlink r:id="rId32">
        <w:r>
          <w:rPr>
            <w:lang w:val="en_US" w:bidi="en_US"/>
          </w:rPr>
          <w:rPr>
            <w:color w:val="0000EE"/>
            <w:u w:val="single"/>
          </w:rPr>
          <w:t>1.11.1 Smelting furnace, kiln&lt;REALIA:1.11.1&gt;</w:t>
        </w:r>
      </w:hyperlink>
      <w:r>
        <w:rPr>
          <w:lang w:val="en_US" w:bidi="en_US"/>
        </w:rPr>
        <w:t>.</w:t>
      </w:r>
      <w:r>
        <w:rPr>
          <w:lang w:val="en_US" w:bidi="en_US"/>
        </w:rPr>
      </w:r>
    </w:p>
    <w:p>
      <w:r>
        <w:drawing>
          <wp:inline xmlns:a="http://schemas.openxmlformats.org/drawingml/2006/main" xmlns:pic="http://schemas.openxmlformats.org/drawingml/2006/picture">
            <wp:extent cx="6096000" cy="9144000"/>
            <wp:docPr id="1" name="Picture 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096000" cy="914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All cultures know of devices for cooking food. The word “oven” may be rendered “place heated for baking bread” or “place for heating food.” It may be useful in some instances to employ a more extensive description in a glossary. However, this is rarely necessary since the function of an oven is far more important than its form. The difference between an oven and a smelting furnace (see </w:t>
      </w:r>
      <w:hyperlink r:id="rId32">
        <w:r>
          <w:rPr>
            <w:lang w:val="en_US" w:bidi="en_US"/>
          </w:rPr>
          <w:rPr>
            <w:color w:val="0000EE"/>
            <w:u w:val="single"/>
          </w:rPr>
          <w:t>1.11.1 Smelting furnace, kiln&lt;REALIA:1.11.1&gt;</w:t>
        </w:r>
      </w:hyperlink>
      <w:r>
        <w:rPr>
          <w:lang w:val="en_US" w:bidi="en_US"/>
        </w:rPr>
        <w:t>) is primarily one of size rather than of basic design.</w:t>
      </w:r>
      <w:r>
        <w:rPr>
          <w:lang w:val="en_US" w:bidi="en_US"/>
        </w:rPr>
      </w:r>
    </w:p>
    <w:p>
      <w:pPr/>
      <w:r>
        <w:rPr>
          <w:lang w:val="en_US" w:bidi="en_US"/>
        </w:rPr>
      </w:r>
      <w:r>
        <w:rPr>
          <w:lang w:val="en_US" w:bidi="en_US"/>
        </w:rPr>
        <w:t xml:space="preserve">The Hebrew word </w:t>
      </w:r>
      <w:r>
        <w:rPr>
          <w:i/>
          <w:lang w:val="en_US" w:bidi="en_US"/>
        </w:rPr>
        <w:t>tanur</w:t>
      </w:r>
      <w:r>
        <w:rPr>
          <w:lang w:val="en_US" w:bidi="en_US"/>
        </w:rPr>
        <w:t xml:space="preserve"> in </w:t>
      </w:r>
      <w:hyperlink r:id="rId14">
        <w:r>
          <w:rPr>
            <w:lang w:val="en_US" w:bidi="en_US"/>
          </w:rPr>
          <w:rPr>
            <w:color w:val="0000EE"/>
            <w:u w:val="single"/>
          </w:rPr>
          <w:t>GEN 15:17</w:t>
        </w:r>
      </w:hyperlink>
      <w:r>
        <w:rPr>
          <w:lang w:val="en_US" w:bidi="en_US"/>
        </w:rPr>
        <w:t xml:space="preserve"> seems to refer to a portable stove or fire pot, a kind of round earthenware bowl holding coals.</w:t>
      </w:r>
      <w:r>
        <w:rPr>
          <w:lang w:val="en_US" w:bidi="en_US"/>
        </w:rPr>
      </w:r>
    </w:p>
    <w:p>
      <w:pPr/>
      <w:r>
        <w:rPr>
          <w:lang w:val="en_US" w:bidi="en_US"/>
        </w:rPr>
      </w:r>
      <w:r>
        <w:rPr>
          <w:lang w:val="en_US" w:bidi="en_US"/>
        </w:rPr>
      </w:r>
      <w:hyperlink r:id="rId29">
        <w:r>
          <w:rPr>
            <w:lang w:val="en_US" w:bidi="en_US"/>
          </w:rPr>
          <w:rPr>
            <w:color w:val="0000EE"/>
            <w:u w:val="single"/>
          </w:rPr>
          <w:t>MAT 6:30</w:t>
        </w:r>
      </w:hyperlink>
      <w:r>
        <w:rPr>
          <w:lang w:val="en_US" w:bidi="en_US"/>
        </w:rPr>
        <w:t xml:space="preserve">; </w:t>
      </w:r>
      <w:hyperlink r:id="rId30">
        <w:r>
          <w:rPr>
            <w:lang w:val="en_US" w:bidi="en_US"/>
          </w:rPr>
          <w:rPr>
            <w:color w:val="0000EE"/>
            <w:u w:val="single"/>
          </w:rPr>
          <w:t>LUK 12:28</w:t>
        </w:r>
      </w:hyperlink>
      <w:r>
        <w:rPr>
          <w:lang w:val="en_US" w:bidi="en_US"/>
        </w:rPr>
        <w:t>: The point of the illustration in these verses is that God will take care of his people even more than he takes care of something like wild grass, which only serves as fuel for burning. So it is possible to omit mention of the instrument in which the grass is burned; for example, instead of “thrown into the oven” (</w:t>
      </w:r>
      <w:r>
        <w:rPr>
          <w:lang w:val="en_US" w:bidi="en_US"/>
        </w:rPr>
        <w:t>RSV</w:t>
      </w:r>
      <w:r>
        <w:rPr>
          <w:lang w:val="en_US" w:bidi="en_US"/>
        </w:rPr>
        <w:t xml:space="preserve">), </w:t>
      </w:r>
      <w:r>
        <w:rPr>
          <w:lang w:val="en_US" w:bidi="en_US"/>
        </w:rPr>
        <w:t>NIV</w:t>
      </w:r>
      <w:r>
        <w:rPr>
          <w:lang w:val="en_US" w:bidi="en_US"/>
        </w:rPr>
        <w:t xml:space="preserve"> says “thrown into the fire,” and </w:t>
      </w:r>
      <w:r>
        <w:rPr>
          <w:lang w:val="en_US" w:bidi="en_US"/>
        </w:rPr>
        <w:t>GECL</w:t>
      </w:r>
      <w:r>
        <w:rPr>
          <w:lang w:val="en_US" w:bidi="en_US"/>
        </w:rPr>
        <w:t xml:space="preserve"> has “burned up.” Such a translation will be especially appropriate for cultures where grass is not burned in an oven. The above comments should be considered also when translating </w:t>
      </w:r>
      <w:hyperlink r:id="rId28">
        <w:r>
          <w:rPr>
            <w:lang w:val="en_US" w:bidi="en_US"/>
          </w:rPr>
          <w:rPr>
            <w:color w:val="0000EE"/>
            <w:u w:val="single"/>
          </w:rPr>
          <w:t>MAL 3:19</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15:17" TargetMode="External"/><Relationship Id="rId15" Type="http://schemas.openxmlformats.org/officeDocument/2006/relationships/hyperlink" Target="https://ref.ly/Exod7:28" TargetMode="External"/><Relationship Id="rId16" Type="http://schemas.openxmlformats.org/officeDocument/2006/relationships/hyperlink" Target="https://ref.ly/Lev2:4" TargetMode="External"/><Relationship Id="rId17" Type="http://schemas.openxmlformats.org/officeDocument/2006/relationships/hyperlink" Target="https://ref.ly/Lev7:9" TargetMode="External"/><Relationship Id="rId18" Type="http://schemas.openxmlformats.org/officeDocument/2006/relationships/hyperlink" Target="https://ref.ly/Lev11:35" TargetMode="External"/><Relationship Id="rId19" Type="http://schemas.openxmlformats.org/officeDocument/2006/relationships/hyperlink" Target="https://ref.ly/Lev26:26" TargetMode="External"/><Relationship Id="rId20" Type="http://schemas.openxmlformats.org/officeDocument/2006/relationships/hyperlink" Target="https://ref.ly/Neh3:11" TargetMode="External"/><Relationship Id="rId21" Type="http://schemas.openxmlformats.org/officeDocument/2006/relationships/hyperlink" Target="https://ref.ly/Neh12:38" TargetMode="External"/><Relationship Id="rId22" Type="http://schemas.openxmlformats.org/officeDocument/2006/relationships/hyperlink" Target="https://ref.ly/Ps21:10" TargetMode="External"/><Relationship Id="rId23" Type="http://schemas.openxmlformats.org/officeDocument/2006/relationships/hyperlink" Target="https://ref.ly/Isa31:9" TargetMode="External"/><Relationship Id="rId24" Type="http://schemas.openxmlformats.org/officeDocument/2006/relationships/hyperlink" Target="https://ref.ly/Lam5:10" TargetMode="External"/><Relationship Id="rId25" Type="http://schemas.openxmlformats.org/officeDocument/2006/relationships/hyperlink" Target="https://ref.ly/Hos7:4" TargetMode="External"/><Relationship Id="rId26" Type="http://schemas.openxmlformats.org/officeDocument/2006/relationships/hyperlink" Target="https://ref.ly/Hos7:6" TargetMode="External"/><Relationship Id="rId27" Type="http://schemas.openxmlformats.org/officeDocument/2006/relationships/hyperlink" Target="https://ref.ly/Hos7:7" TargetMode="External"/><Relationship Id="rId28" Type="http://schemas.openxmlformats.org/officeDocument/2006/relationships/hyperlink" Target="https://ref.ly/Mal3:19" TargetMode="External"/><Relationship Id="rId29" Type="http://schemas.openxmlformats.org/officeDocument/2006/relationships/hyperlink" Target="https://ref.ly/Matt6:30" TargetMode="External"/><Relationship Id="rId30" Type="http://schemas.openxmlformats.org/officeDocument/2006/relationships/hyperlink" Target="https://ref.ly/Luke12:28" TargetMode="External"/><Relationship Id="rId31" Type="http://schemas.openxmlformats.org/officeDocument/2006/relationships/image" Target="media/image1.png"/><Relationship Id="rId32" Type="http://schemas.openxmlformats.org/officeDocument/2006/relationships/hyperlink" Targ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