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Wineskin, water bag</w:t>
      </w:r>
      <w:r>
        <w:rPr>
          <w:lang w:val="en_US" w:bidi="en_US"/>
        </w:rPr>
      </w:r>
    </w:p>
    <w:p>
      <w:pPr>
        <w:pStyle w:val="Heading1"/>
      </w:pPr>
      <w:r>
        <w:rPr>
          <w:lang w:val="en_US" w:bidi="en_US"/>
        </w:rPr>
        <w:t>5.15</w:t>
      </w:r>
      <w:r>
        <w:rPr>
          <w:lang w:val="en_US" w:bidi="en_US"/>
        </w:rPr>
        <w:t xml:space="preserve"> Wineskin, water bag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אוֹב</w:t>
      </w:r>
      <w:r>
        <w:rPr>
          <w:lang w:val="en_US" w:bidi="en_US"/>
        </w:rPr>
        <w:t xml:space="preserve"> </w:t>
      </w:r>
      <w:r>
        <w:rPr>
          <w:lang w:val="en_US" w:bidi="en_US"/>
        </w:rPr>
        <w:t>(’ov)</w:t>
      </w:r>
      <w:r>
        <w:rPr>
          <w:lang w:val="en_US" w:bidi="en_US"/>
        </w:rPr>
      </w:r>
      <w:hyperlink r:id="rId14">
        <w:r>
          <w:rPr>
            <w:lang w:val="en_US" w:bidi="en_US"/>
          </w:rPr>
          <w:rPr>
            <w:color w:val="0000EE"/>
            <w:u w:val="single"/>
          </w:rPr>
          <w:t>JOB 32:19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חֵמֶת</w:t>
      </w:r>
      <w:r>
        <w:rPr>
          <w:lang w:val="en_US" w:bidi="en_US"/>
        </w:rPr>
        <w:t xml:space="preserve"> </w:t>
      </w:r>
      <w:r>
        <w:rPr>
          <w:lang w:val="en_US" w:bidi="en_US"/>
        </w:rPr>
        <w:t>(chemeth)</w:t>
      </w:r>
      <w:r>
        <w:rPr>
          <w:lang w:val="en_US" w:bidi="en_US"/>
        </w:rPr>
      </w:r>
      <w:hyperlink r:id="rId15">
        <w:r>
          <w:rPr>
            <w:lang w:val="en_US" w:bidi="en_US"/>
          </w:rPr>
          <w:rPr>
            <w:color w:val="0000EE"/>
            <w:u w:val="single"/>
          </w:rPr>
          <w:t>GEN 21:15</w:t>
        </w:r>
      </w:hyperlink>
      <w:r>
        <w:rPr>
          <w:lang w:val="en_US" w:bidi="en_US"/>
        </w:rPr>
        <w:t xml:space="preserve">, </w:t>
      </w:r>
      <w:hyperlink r:id="rId16">
        <w:r>
          <w:rPr>
            <w:lang w:val="en_US" w:bidi="en_US"/>
          </w:rPr>
          <w:rPr>
            <w:color w:val="0000EE"/>
            <w:u w:val="single"/>
          </w:rPr>
          <w:t>GEN 21:19</w:t>
        </w:r>
      </w:hyperlink>
      <w:r>
        <w:rPr>
          <w:lang w:val="en_US" w:bidi="en_US"/>
        </w:rPr>
        <w:t xml:space="preserve">, </w:t>
      </w:r>
      <w:hyperlink r:id="rId17">
        <w:r>
          <w:rPr>
            <w:lang w:val="en_US" w:bidi="en_US"/>
          </w:rPr>
          <w:rPr>
            <w:color w:val="0000EE"/>
            <w:u w:val="single"/>
          </w:rPr>
          <w:t>HAB 2:15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נֹאד</w:t>
      </w:r>
      <w:r>
        <w:rPr>
          <w:lang w:val="en_US" w:bidi="en_US"/>
        </w:rPr>
        <w:t xml:space="preserve"> </w:t>
      </w:r>
      <w:r>
        <w:rPr>
          <w:lang w:val="en_US" w:bidi="en_US"/>
        </w:rPr>
        <w:t>(no’d)</w:t>
      </w:r>
      <w:r>
        <w:rPr>
          <w:lang w:val="en_US" w:bidi="en_US"/>
        </w:rPr>
      </w:r>
      <w:hyperlink r:id="rId18">
        <w:r>
          <w:rPr>
            <w:lang w:val="en_US" w:bidi="en_US"/>
          </w:rPr>
          <w:rPr>
            <w:color w:val="0000EE"/>
            <w:u w:val="single"/>
          </w:rPr>
          <w:t>JOS 9:4</w:t>
        </w:r>
      </w:hyperlink>
      <w:r>
        <w:rPr>
          <w:lang w:val="en_US" w:bidi="en_US"/>
        </w:rPr>
        <w:t xml:space="preserve">, </w:t>
      </w:r>
      <w:hyperlink r:id="rId19">
        <w:r>
          <w:rPr>
            <w:lang w:val="en_US" w:bidi="en_US"/>
          </w:rPr>
          <w:rPr>
            <w:color w:val="0000EE"/>
            <w:u w:val="single"/>
          </w:rPr>
          <w:t>JOS 9:13</w:t>
        </w:r>
      </w:hyperlink>
      <w:r>
        <w:rPr>
          <w:lang w:val="en_US" w:bidi="en_US"/>
        </w:rPr>
        <w:t xml:space="preserve">, </w:t>
      </w:r>
      <w:hyperlink r:id="rId20">
        <w:r>
          <w:rPr>
            <w:lang w:val="en_US" w:bidi="en_US"/>
          </w:rPr>
          <w:rPr>
            <w:color w:val="0000EE"/>
            <w:u w:val="single"/>
          </w:rPr>
          <w:t>JDG 4:19</w:t>
        </w:r>
      </w:hyperlink>
      <w:r>
        <w:rPr>
          <w:lang w:val="en_US" w:bidi="en_US"/>
        </w:rPr>
        <w:t xml:space="preserve">, </w:t>
      </w:r>
      <w:hyperlink r:id="rId21">
        <w:r>
          <w:rPr>
            <w:lang w:val="en_US" w:bidi="en_US"/>
          </w:rPr>
          <w:rPr>
            <w:color w:val="0000EE"/>
            <w:u w:val="single"/>
          </w:rPr>
          <w:t>1SA 16:20</w:t>
        </w:r>
      </w:hyperlink>
      <w:r>
        <w:rPr>
          <w:lang w:val="en_US" w:bidi="en_US"/>
        </w:rPr>
        <w:t xml:space="preserve">, </w:t>
      </w:r>
      <w:hyperlink r:id="rId22">
        <w:r>
          <w:rPr>
            <w:lang w:val="en_US" w:bidi="en_US"/>
          </w:rPr>
          <w:rPr>
            <w:color w:val="0000EE"/>
            <w:u w:val="single"/>
          </w:rPr>
          <w:t>PSA 56:9</w:t>
        </w:r>
      </w:hyperlink>
      <w:r>
        <w:rPr>
          <w:lang w:val="en_US" w:bidi="en_US"/>
        </w:rPr>
        <w:t xml:space="preserve">, </w:t>
      </w:r>
      <w:hyperlink r:id="rId23">
        <w:r>
          <w:rPr>
            <w:lang w:val="en_US" w:bidi="en_US"/>
          </w:rPr>
          <w:rPr>
            <w:color w:val="0000EE"/>
            <w:u w:val="single"/>
          </w:rPr>
          <w:t>PSA 119:83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נֵבֶל</w:t>
      </w:r>
      <w:r>
        <w:rPr>
          <w:lang w:val="en_US" w:bidi="en_US"/>
        </w:rPr>
        <w:t xml:space="preserve"> </w:t>
      </w:r>
      <w:r>
        <w:rPr>
          <w:lang w:val="en_US" w:bidi="en_US"/>
        </w:rPr>
        <w:t>(nevel)</w:t>
      </w:r>
      <w:r>
        <w:rPr>
          <w:lang w:val="en_US" w:bidi="en_US"/>
        </w:rPr>
      </w:r>
      <w:hyperlink r:id="rId24">
        <w:r>
          <w:rPr>
            <w:lang w:val="en_US" w:bidi="en_US"/>
          </w:rPr>
          <w:rPr>
            <w:color w:val="0000EE"/>
            <w:u w:val="single"/>
          </w:rPr>
          <w:t>1SA 1:24</w:t>
        </w:r>
      </w:hyperlink>
      <w:r>
        <w:rPr>
          <w:lang w:val="en_US" w:bidi="en_US"/>
        </w:rPr>
        <w:t xml:space="preserve">, </w:t>
      </w:r>
      <w:hyperlink r:id="rId25">
        <w:r>
          <w:rPr>
            <w:lang w:val="en_US" w:bidi="en_US"/>
          </w:rPr>
          <w:rPr>
            <w:color w:val="0000EE"/>
            <w:u w:val="single"/>
          </w:rPr>
          <w:t>1SA 10:3</w:t>
        </w:r>
      </w:hyperlink>
      <w:r>
        <w:rPr>
          <w:lang w:val="en_US" w:bidi="en_US"/>
        </w:rPr>
        <w:t xml:space="preserve">, </w:t>
      </w:r>
      <w:hyperlink r:id="rId26">
        <w:r>
          <w:rPr>
            <w:lang w:val="en_US" w:bidi="en_US"/>
          </w:rPr>
          <w:rPr>
            <w:color w:val="0000EE"/>
            <w:u w:val="single"/>
          </w:rPr>
          <w:t>1SA 25:18</w:t>
        </w:r>
      </w:hyperlink>
      <w:r>
        <w:rPr>
          <w:lang w:val="en_US" w:bidi="en_US"/>
        </w:rPr>
        <w:t xml:space="preserve">, </w:t>
      </w:r>
      <w:hyperlink r:id="rId27">
        <w:r>
          <w:rPr>
            <w:lang w:val="en_US" w:bidi="en_US"/>
          </w:rPr>
          <w:rPr>
            <w:color w:val="0000EE"/>
            <w:u w:val="single"/>
          </w:rPr>
          <w:t>2SA 16:1</w:t>
        </w:r>
      </w:hyperlink>
      <w:r>
        <w:rPr>
          <w:lang w:val="en_US" w:bidi="en_US"/>
        </w:rPr>
        <w:t xml:space="preserve">, </w:t>
      </w:r>
      <w:hyperlink r:id="rId28">
        <w:r>
          <w:rPr>
            <w:lang w:val="en_US" w:bidi="en_US"/>
          </w:rPr>
          <w:rPr>
            <w:color w:val="0000EE"/>
            <w:u w:val="single"/>
          </w:rPr>
          <w:t>JOB 38:37</w:t>
        </w:r>
      </w:hyperlink>
      <w:r>
        <w:rPr>
          <w:lang w:val="en_US" w:bidi="en_US"/>
        </w:rPr>
        <w:t xml:space="preserve">, </w:t>
      </w:r>
      <w:hyperlink r:id="rId29">
        <w:r>
          <w:rPr>
            <w:lang w:val="en_US" w:bidi="en_US"/>
          </w:rPr>
          <w:rPr>
            <w:color w:val="0000EE"/>
            <w:u w:val="single"/>
          </w:rPr>
          <w:t>JER 13:12</w:t>
        </w:r>
      </w:hyperlink>
      <w:r>
        <w:rPr>
          <w:lang w:val="en_US" w:bidi="en_US"/>
        </w:rPr>
        <w:t xml:space="preserve">, </w:t>
      </w:r>
      <w:hyperlink r:id="rId29">
        <w:r>
          <w:rPr>
            <w:lang w:val="en_US" w:bidi="en_US"/>
          </w:rPr>
          <w:rPr>
            <w:color w:val="0000EE"/>
            <w:u w:val="single"/>
          </w:rPr>
          <w:t>JER 13:12</w:t>
        </w:r>
      </w:hyperlink>
      <w:r>
        <w:rPr>
          <w:lang w:val="en_US" w:bidi="en_US"/>
        </w:rPr>
        <w:t xml:space="preserve">, </w:t>
      </w:r>
      <w:hyperlink r:id="rId30">
        <w:r>
          <w:rPr>
            <w:lang w:val="en_US" w:bidi="en_US"/>
          </w:rPr>
          <w:rPr>
            <w:color w:val="0000EE"/>
            <w:u w:val="single"/>
          </w:rPr>
          <w:t>JER 48:12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ἀσκοπυτίνη</w:t>
      </w:r>
      <w:r>
        <w:rPr>
          <w:lang w:val="en_US" w:bidi="en_US"/>
        </w:rPr>
        <w:t xml:space="preserve"> </w:t>
      </w:r>
      <w:r>
        <w:rPr>
          <w:lang w:val="en_US" w:bidi="en_US"/>
        </w:rPr>
        <w:t>(askoputinē)</w:t>
      </w:r>
      <w:r>
        <w:rPr>
          <w:lang w:val="en_US" w:bidi="en_US"/>
        </w:rPr>
      </w:r>
      <w:hyperlink r:id="rId31">
        <w:r>
          <w:rPr>
            <w:lang w:val="en_US" w:bidi="en_US"/>
          </w:rPr>
          <w:rPr>
            <w:color w:val="0000EE"/>
            <w:u w:val="single"/>
          </w:rPr>
          <w:t>JDT 10:5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ἀσκός</w:t>
      </w:r>
      <w:r>
        <w:rPr>
          <w:lang w:val="en_US" w:bidi="en_US"/>
        </w:rPr>
        <w:t xml:space="preserve"> </w:t>
      </w:r>
      <w:r>
        <w:rPr>
          <w:lang w:val="en_US" w:bidi="en_US"/>
        </w:rPr>
        <w:t>(askos)</w:t>
      </w:r>
      <w:r>
        <w:rPr>
          <w:lang w:val="en_US" w:bidi="en_US"/>
        </w:rPr>
      </w:r>
      <w:hyperlink r:id="rId32">
        <w:r>
          <w:rPr>
            <w:lang w:val="en_US" w:bidi="en_US"/>
          </w:rPr>
          <w:rPr>
            <w:color w:val="0000EE"/>
            <w:u w:val="single"/>
          </w:rPr>
          <w:t>MAT 9:17</w:t>
        </w:r>
      </w:hyperlink>
      <w:r>
        <w:rPr>
          <w:lang w:val="en_US" w:bidi="en_US"/>
        </w:rPr>
        <w:t xml:space="preserve">, </w:t>
      </w:r>
      <w:hyperlink r:id="rId32">
        <w:r>
          <w:rPr>
            <w:lang w:val="en_US" w:bidi="en_US"/>
          </w:rPr>
          <w:rPr>
            <w:color w:val="0000EE"/>
            <w:u w:val="single"/>
          </w:rPr>
          <w:t>MAT 9:17</w:t>
        </w:r>
      </w:hyperlink>
      <w:r>
        <w:rPr>
          <w:lang w:val="en_US" w:bidi="en_US"/>
        </w:rPr>
        <w:t xml:space="preserve">, </w:t>
      </w:r>
      <w:hyperlink r:id="rId32">
        <w:r>
          <w:rPr>
            <w:lang w:val="en_US" w:bidi="en_US"/>
          </w:rPr>
          <w:rPr>
            <w:color w:val="0000EE"/>
            <w:u w:val="single"/>
          </w:rPr>
          <w:t>MAT 9:17</w:t>
        </w:r>
      </w:hyperlink>
      <w:r>
        <w:rPr>
          <w:lang w:val="en_US" w:bidi="en_US"/>
        </w:rPr>
        <w:t xml:space="preserve">, </w:t>
      </w:r>
      <w:hyperlink r:id="rId32">
        <w:r>
          <w:rPr>
            <w:lang w:val="en_US" w:bidi="en_US"/>
          </w:rPr>
          <w:rPr>
            <w:color w:val="0000EE"/>
            <w:u w:val="single"/>
          </w:rPr>
          <w:t>MAT 9:17</w:t>
        </w:r>
      </w:hyperlink>
      <w:r>
        <w:rPr>
          <w:lang w:val="en_US" w:bidi="en_US"/>
        </w:rPr>
        <w:t xml:space="preserve">, </w:t>
      </w:r>
      <w:hyperlink r:id="rId33">
        <w:r>
          <w:rPr>
            <w:lang w:val="en_US" w:bidi="en_US"/>
          </w:rPr>
          <w:rPr>
            <w:color w:val="0000EE"/>
            <w:u w:val="single"/>
          </w:rPr>
          <w:t>MRK 2:22</w:t>
        </w:r>
      </w:hyperlink>
      <w:r>
        <w:rPr>
          <w:lang w:val="en_US" w:bidi="en_US"/>
        </w:rPr>
        <w:t xml:space="preserve">, </w:t>
      </w:r>
      <w:hyperlink r:id="rId33">
        <w:r>
          <w:rPr>
            <w:lang w:val="en_US" w:bidi="en_US"/>
          </w:rPr>
          <w:rPr>
            <w:color w:val="0000EE"/>
            <w:u w:val="single"/>
          </w:rPr>
          <w:t>MRK 2:22</w:t>
        </w:r>
      </w:hyperlink>
      <w:r>
        <w:rPr>
          <w:lang w:val="en_US" w:bidi="en_US"/>
        </w:rPr>
        <w:t xml:space="preserve">, </w:t>
      </w:r>
      <w:hyperlink r:id="rId33">
        <w:r>
          <w:rPr>
            <w:lang w:val="en_US" w:bidi="en_US"/>
          </w:rPr>
          <w:rPr>
            <w:color w:val="0000EE"/>
            <w:u w:val="single"/>
          </w:rPr>
          <w:t>MRK 2:22</w:t>
        </w:r>
      </w:hyperlink>
      <w:r>
        <w:rPr>
          <w:lang w:val="en_US" w:bidi="en_US"/>
        </w:rPr>
        <w:t xml:space="preserve">, </w:t>
      </w:r>
      <w:hyperlink r:id="rId33">
        <w:r>
          <w:rPr>
            <w:lang w:val="en_US" w:bidi="en_US"/>
          </w:rPr>
          <w:rPr>
            <w:color w:val="0000EE"/>
            <w:u w:val="single"/>
          </w:rPr>
          <w:t>MRK 2:22</w:t>
        </w:r>
      </w:hyperlink>
      <w:r>
        <w:rPr>
          <w:lang w:val="en_US" w:bidi="en_US"/>
        </w:rPr>
        <w:t xml:space="preserve">, </w:t>
      </w:r>
      <w:hyperlink r:id="rId34">
        <w:r>
          <w:rPr>
            <w:lang w:val="en_US" w:bidi="en_US"/>
          </w:rPr>
          <w:rPr>
            <w:color w:val="0000EE"/>
            <w:u w:val="single"/>
          </w:rPr>
          <w:t>LUK 5:37</w:t>
        </w:r>
      </w:hyperlink>
      <w:r>
        <w:rPr>
          <w:lang w:val="en_US" w:bidi="en_US"/>
        </w:rPr>
        <w:t xml:space="preserve">, </w:t>
      </w:r>
      <w:hyperlink r:id="rId34">
        <w:r>
          <w:rPr>
            <w:lang w:val="en_US" w:bidi="en_US"/>
          </w:rPr>
          <w:rPr>
            <w:color w:val="0000EE"/>
            <w:u w:val="single"/>
          </w:rPr>
          <w:t>LUK 5:37</w:t>
        </w:r>
      </w:hyperlink>
      <w:r>
        <w:rPr>
          <w:lang w:val="en_US" w:bidi="en_US"/>
        </w:rPr>
        <w:t xml:space="preserve">, </w:t>
      </w:r>
      <w:hyperlink r:id="rId34">
        <w:r>
          <w:rPr>
            <w:lang w:val="en_US" w:bidi="en_US"/>
          </w:rPr>
          <w:rPr>
            <w:color w:val="0000EE"/>
            <w:u w:val="single"/>
          </w:rPr>
          <w:t>LUK 5:37</w:t>
        </w:r>
      </w:hyperlink>
      <w:r>
        <w:rPr>
          <w:lang w:val="en_US" w:bidi="en_US"/>
        </w:rPr>
        <w:t xml:space="preserve">, </w:t>
      </w:r>
      <w:hyperlink r:id="rId35">
        <w:r>
          <w:rPr>
            <w:lang w:val="en_US" w:bidi="en_US"/>
          </w:rPr>
          <w:rPr>
            <w:color w:val="0000EE"/>
            <w:u w:val="single"/>
          </w:rPr>
          <w:t>LUK 5:38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Wineskin (Image generated by ChatGPT using OpenAI technology)</w:t>
      </w:r>
      <w:r>
        <w:rPr>
          <w:lang w:val="en_US" w:bidi="en_US"/>
        </w:rPr>
        <w:t>The wineskin or water bag was a bag made of skin or leather. Normally the skin of a goat or a sheep was used, although the skin of an ox or a camel was also possible. The skin was removed from the animal by separating it at the neck and then pulling it back whole over the body, and the skin was tanned and the hair usually removed. The skin was then turned inside out and four of the five openings (neck and four legs) were tied shut.</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An animal skin was used to hold liquids, typically water or wine (Gary Todd, Israel Museum, CC0, via Wikimedia Commons)</w:t>
      </w:r>
      <w:r>
        <w:rPr>
          <w:lang w:val="en_US" w:bidi="en_US"/>
        </w:rPr>
        <w:t>The bag was used to contain liquids, primarily wine or water. The skin was only a temporary storage vessel since the leather tended to spoil the taste of the liquid.</w:t>
      </w:r>
      <w:r>
        <w:rPr>
          <w:lang w:val="en_US" w:bidi="en_US"/>
        </w:rPr>
      </w:r>
    </w:p>
    <w:p>
      <w:r>
        <w:drawing>
          <wp:inline xmlns:a="http://schemas.openxmlformats.org/drawingml/2006/main" xmlns:pic="http://schemas.openxmlformats.org/drawingml/2006/picture">
            <wp:extent cx="6096000" cy="2226818"/>
            <wp:docPr id="2" name="Picture 2"/>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6096000" cy="222681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’ov</w:t>
      </w:r>
      <w:r>
        <w:rPr>
          <w:lang w:val="en_US" w:bidi="en_US"/>
        </w:rPr>
        <w:t xml:space="preserve"> occurs only in </w:t>
      </w:r>
      <w:hyperlink r:id="rId14">
        <w:r>
          <w:rPr>
            <w:lang w:val="en_US" w:bidi="en_US"/>
          </w:rPr>
          <w:rPr>
            <w:color w:val="0000EE"/>
            <w:u w:val="single"/>
          </w:rPr>
          <w:t>JOB 32:19</w:t>
        </w:r>
      </w:hyperlink>
      <w:r>
        <w:rPr>
          <w:lang w:val="en_US" w:bidi="en_US"/>
        </w:rPr>
        <w:t xml:space="preserve"> with the meaning “wineskin,” which is made clear in the context. See the discussion on this verse in </w:t>
      </w:r>
      <w:r>
        <w:rPr>
          <w:i/>
          <w:lang w:val="en_US" w:bidi="en_US"/>
        </w:rPr>
        <w:t>A Handbook on The Book of Job</w:t>
      </w:r>
      <w:r>
        <w:rPr>
          <w:lang w:val="en_US" w:bidi="en_US"/>
        </w:rPr>
        <w:t>, pages 601–602.</w:t>
      </w:r>
      <w:r>
        <w:rPr>
          <w:lang w:val="en_US" w:bidi="en_US"/>
        </w:rPr>
      </w:r>
    </w:p>
    <w:p>
      <w:pPr/>
      <w:r>
        <w:rPr>
          <w:lang w:val="en_US" w:bidi="en_US"/>
        </w:rPr>
      </w:r>
      <w:r>
        <w:rPr>
          <w:lang w:val="en_US" w:bidi="en_US"/>
        </w:rPr>
      </w:r>
      <w:hyperlink r:id="rId22">
        <w:r>
          <w:rPr>
            <w:lang w:val="en_US" w:bidi="en_US"/>
          </w:rPr>
          <w:rPr>
            <w:color w:val="0000EE"/>
            <w:u w:val="single"/>
          </w:rPr>
          <w:t>PSA 56:9</w:t>
        </w:r>
      </w:hyperlink>
      <w:r>
        <w:rPr>
          <w:lang w:val="en_US" w:bidi="en_US"/>
        </w:rPr>
        <w:t xml:space="preserve">; </w:t>
      </w:r>
      <w:hyperlink r:id="rId17">
        <w:r>
          <w:rPr>
            <w:lang w:val="en_US" w:bidi="en_US"/>
          </w:rPr>
          <w:rPr>
            <w:color w:val="0000EE"/>
            <w:u w:val="single"/>
          </w:rPr>
          <w:t>HAB 2:15</w:t>
        </w:r>
      </w:hyperlink>
      <w:r>
        <w:rPr>
          <w:lang w:val="en_US" w:bidi="en_US"/>
        </w:rPr>
        <w:t xml:space="preserve">: Some authorities do not see references to wineskins in these passages. See the discussions on these verses in </w:t>
      </w:r>
      <w:r>
        <w:rPr>
          <w:i/>
          <w:lang w:val="en_US" w:bidi="en_US"/>
        </w:rPr>
        <w:t>A Handbook on Psalms</w:t>
      </w:r>
      <w:r>
        <w:rPr>
          <w:lang w:val="en_US" w:bidi="en_US"/>
        </w:rPr>
        <w:t xml:space="preserve"> (pages 505–506) and </w:t>
      </w:r>
      <w:r>
        <w:rPr>
          <w:i/>
          <w:lang w:val="en_US" w:bidi="en_US"/>
        </w:rPr>
        <w:t>A Handbook on The Books of Nahum, Habakkuk, and Zephaniah</w:t>
      </w:r>
      <w:r>
        <w:rPr>
          <w:lang w:val="en_US" w:bidi="en_US"/>
        </w:rPr>
        <w:t xml:space="preserve"> (pages 105–106).</w:t>
      </w:r>
      <w:r>
        <w:rPr>
          <w:lang w:val="en_US" w:bidi="en_US"/>
        </w:rPr>
      </w:r>
    </w:p>
    <w:p>
      <w:pPr/>
      <w:r>
        <w:rPr>
          <w:lang w:val="en_US" w:bidi="en_US"/>
        </w:rPr>
      </w:r>
      <w:r>
        <w:rPr>
          <w:lang w:val="en_US" w:bidi="en_US"/>
        </w:rPr>
      </w:r>
      <w:hyperlink r:id="rId23">
        <w:r>
          <w:rPr>
            <w:lang w:val="en_US" w:bidi="en_US"/>
          </w:rPr>
          <w:rPr>
            <w:color w:val="0000EE"/>
            <w:u w:val="single"/>
          </w:rPr>
          <w:t>PSA 119:83</w:t>
        </w:r>
      </w:hyperlink>
      <w:r>
        <w:rPr>
          <w:lang w:val="en_US" w:bidi="en_US"/>
        </w:rPr>
        <w:t xml:space="preserve">: For the first line of this verse, </w:t>
      </w:r>
      <w:r>
        <w:rPr>
          <w:lang w:val="en_US" w:bidi="en_US"/>
        </w:rPr>
        <w:t>GNT</w:t>
      </w:r>
      <w:r>
        <w:rPr>
          <w:lang w:val="en_US" w:bidi="en_US"/>
        </w:rPr>
        <w:t xml:space="preserve"> has “I am as useless as a discarded wineskin.” In many languages this rendering will have little or no meaning. Accordingly, the translator has two choices: either to say “I am of no account,” or to use a local object instead of “wineskin,” such as a mildewed bag.</w:t>
      </w:r>
      <w:r>
        <w:rPr>
          <w:lang w:val="en_US" w:bidi="en_US"/>
        </w:rPr>
      </w:r>
    </w:p>
    <w:p>
      <w:pPr/>
      <w:r>
        <w:rPr>
          <w:lang w:val="en_US" w:bidi="en_US"/>
        </w:rPr>
      </w:r>
      <w:r>
        <w:rPr>
          <w:lang w:val="en_US" w:bidi="en_US"/>
        </w:rPr>
      </w:r>
      <w:hyperlink r:id="rId32">
        <w:r>
          <w:rPr>
            <w:lang w:val="en_US" w:bidi="en_US"/>
          </w:rPr>
          <w:rPr>
            <w:color w:val="0000EE"/>
            <w:u w:val="single"/>
          </w:rPr>
          <w:t>MAT 9:17</w:t>
        </w:r>
      </w:hyperlink>
      <w:r>
        <w:rPr>
          <w:lang w:val="en_US" w:bidi="en_US"/>
        </w:rPr>
        <w:t xml:space="preserve">; </w:t>
      </w:r>
      <w:hyperlink r:id="rId33">
        <w:r>
          <w:rPr>
            <w:lang w:val="en_US" w:bidi="en_US"/>
          </w:rPr>
          <w:rPr>
            <w:color w:val="0000EE"/>
            <w:u w:val="single"/>
          </w:rPr>
          <w:t>MRK 2:22</w:t>
        </w:r>
      </w:hyperlink>
      <w:r>
        <w:rPr>
          <w:lang w:val="en_US" w:bidi="en_US"/>
        </w:rPr>
        <w:t xml:space="preserve">; </w:t>
      </w:r>
      <w:hyperlink r:id="rId34">
        <w:r>
          <w:rPr>
            <w:lang w:val="en_US" w:bidi="en_US"/>
          </w:rPr>
          <w:rPr>
            <w:color w:val="0000EE"/>
            <w:u w:val="single"/>
          </w:rPr>
          <w:t>LUK 5:37</w:t>
        </w:r>
      </w:hyperlink>
      <w:r>
        <w:rPr>
          <w:lang w:val="en_US" w:bidi="en_US"/>
        </w:rPr>
        <w:t xml:space="preserve">; </w:t>
      </w:r>
      <w:hyperlink r:id="rId35">
        <w:r>
          <w:rPr>
            <w:lang w:val="en_US" w:bidi="en_US"/>
          </w:rPr>
          <w:rPr>
            <w:color w:val="0000EE"/>
            <w:u w:val="single"/>
          </w:rPr>
          <w:t>LUK 5:38</w:t>
        </w:r>
      </w:hyperlink>
      <w:r>
        <w:rPr>
          <w:lang w:val="en_US" w:bidi="en_US"/>
        </w:rPr>
        <w:t>: These parallel passages in the New Testament refer to “wineskins.” A number of translators have attempted to substitute “bottles” for “wineskins,” but this has not been satisfactory, since fermenting wine does not normally break glass or earthen bottles, while it would break old wineskins. In circumstances in which the use of wineskins is not known, it may be necessary to employ some kind of descriptive phrase (for example, “container made of skin,” “closed bag of skin,” or “goat skin like a bottle”) and a fuller explanation in a footnote.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32:19" TargetMode="External"/><Relationship Id="rId15" Type="http://schemas.openxmlformats.org/officeDocument/2006/relationships/hyperlink" Target="https://ref.ly/Gen21:15" TargetMode="External"/><Relationship Id="rId16" Type="http://schemas.openxmlformats.org/officeDocument/2006/relationships/hyperlink" Target="https://ref.ly/Gen21:19" TargetMode="External"/><Relationship Id="rId17" Type="http://schemas.openxmlformats.org/officeDocument/2006/relationships/hyperlink" Target="https://ref.ly/Hab2:15" TargetMode="External"/><Relationship Id="rId18" Type="http://schemas.openxmlformats.org/officeDocument/2006/relationships/hyperlink" Target="https://ref.ly/Josh9:4" TargetMode="External"/><Relationship Id="rId19" Type="http://schemas.openxmlformats.org/officeDocument/2006/relationships/hyperlink" Target="https://ref.ly/Josh9:13" TargetMode="External"/><Relationship Id="rId20" Type="http://schemas.openxmlformats.org/officeDocument/2006/relationships/hyperlink" Target="https://ref.ly/Judg4:19" TargetMode="External"/><Relationship Id="rId21" Type="http://schemas.openxmlformats.org/officeDocument/2006/relationships/hyperlink" Target="https://ref.ly/1Sam16:20" TargetMode="External"/><Relationship Id="rId22" Type="http://schemas.openxmlformats.org/officeDocument/2006/relationships/hyperlink" Target="https://ref.ly/Ps56:9" TargetMode="External"/><Relationship Id="rId23" Type="http://schemas.openxmlformats.org/officeDocument/2006/relationships/hyperlink" Target="https://ref.ly/Ps119:83" TargetMode="External"/><Relationship Id="rId24" Type="http://schemas.openxmlformats.org/officeDocument/2006/relationships/hyperlink" Target="https://ref.ly/1Sam1:24" TargetMode="External"/><Relationship Id="rId25" Type="http://schemas.openxmlformats.org/officeDocument/2006/relationships/hyperlink" Target="https://ref.ly/1Sam10:3" TargetMode="External"/><Relationship Id="rId26" Type="http://schemas.openxmlformats.org/officeDocument/2006/relationships/hyperlink" Target="https://ref.ly/1Sam25:18" TargetMode="External"/><Relationship Id="rId27" Type="http://schemas.openxmlformats.org/officeDocument/2006/relationships/hyperlink" Target="https://ref.ly/2Sam16:1" TargetMode="External"/><Relationship Id="rId28" Type="http://schemas.openxmlformats.org/officeDocument/2006/relationships/hyperlink" Target="https://ref.ly/Job38:37" TargetMode="External"/><Relationship Id="rId29" Type="http://schemas.openxmlformats.org/officeDocument/2006/relationships/hyperlink" Target="https://ref.ly/Jer13:12" TargetMode="External"/><Relationship Id="rId30" Type="http://schemas.openxmlformats.org/officeDocument/2006/relationships/hyperlink" Target="https://ref.ly/Jer48:12" TargetMode="External"/><Relationship Id="rId31" Type="http://schemas.openxmlformats.org/officeDocument/2006/relationships/hyperlink" Target="https://ref.ly/Jdt10:5" TargetMode="External"/><Relationship Id="rId32" Type="http://schemas.openxmlformats.org/officeDocument/2006/relationships/hyperlink" Target="https://ref.ly/Matt9:17" TargetMode="External"/><Relationship Id="rId33" Type="http://schemas.openxmlformats.org/officeDocument/2006/relationships/hyperlink" Target="https://ref.ly/Mark2:22" TargetMode="External"/><Relationship Id="rId34" Type="http://schemas.openxmlformats.org/officeDocument/2006/relationships/hyperlink" Target="https://ref.ly/Luke5:37" TargetMode="External"/><Relationship Id="rId35" Type="http://schemas.openxmlformats.org/officeDocument/2006/relationships/hyperlink" Target="https://ref.ly/Luke5:38" TargetMode="External"/><Relationship Id="rId36" Type="http://schemas.openxmlformats.org/officeDocument/2006/relationships/image" Target="media/image1.png"/><Relationship Id="rId3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