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Phylactery</w:t>
      </w:r>
      <w:r>
        <w:rPr>
          <w:lang w:val="en_US" w:bidi="en_US"/>
        </w:rPr>
      </w:r>
    </w:p>
    <w:p>
      <w:pPr>
        <w:pStyle w:val="Heading1"/>
      </w:pPr>
      <w:r>
        <w:rPr>
          <w:lang w:val="en_US" w:bidi="en_US"/>
        </w:rPr>
        <w:t>6.11</w:t>
      </w:r>
      <w:r>
        <w:rPr>
          <w:lang w:val="en_US" w:bidi="en_US"/>
        </w:rPr>
        <w:t xml:space="preserve"> Phylactery</w:t>
      </w:r>
      <w:r>
        <w:rPr>
          <w:lang w:val="en_US" w:bidi="en_US"/>
        </w:rPr>
      </w:r>
    </w:p>
    <w:p>
      <w:pPr>
        <w:pStyle w:val="Heading2"/>
      </w:pPr>
      <w:r>
        <w:rPr>
          <w:lang w:val="en_US" w:bidi="en_US"/>
        </w:rPr>
        <w:t>Reference:</w:t>
      </w:r>
      <w:r>
        <w:rPr>
          <w:lang w:val="en_US" w:bidi="en_US"/>
        </w:rPr>
      </w:r>
      <w:r>
        <w:rPr>
          <w:lang w:val="en_US" w:bidi="en_US"/>
        </w:rPr>
      </w:r>
      <w:r>
        <w:rPr>
          <w:lang w:val="en_US" w:bidi="en_US"/>
        </w:rPr>
        <w:t>Greek</w:t>
      </w:r>
      <w:r>
        <w:rPr>
          <w:lang w:val="en_US" w:bidi="en_US"/>
        </w:rPr>
        <w:t xml:space="preserve"> </w:t>
      </w:r>
      <w:r>
        <w:rPr>
          <w:lang w:val="en_US" w:bidi="en_US"/>
        </w:rPr>
        <w:t>φυλακτήριον</w:t>
      </w:r>
      <w:r>
        <w:rPr>
          <w:lang w:val="en_US" w:bidi="en_US"/>
        </w:rPr>
        <w:t xml:space="preserve"> </w:t>
      </w:r>
      <w:r>
        <w:rPr>
          <w:lang w:val="en_US" w:bidi="en_US"/>
        </w:rPr>
        <w:t>(fulaktērion)</w:t>
      </w:r>
      <w:r>
        <w:rPr>
          <w:lang w:val="en_US" w:bidi="en_US"/>
        </w:rPr>
      </w:r>
      <w:hyperlink r:id="rId14">
        <w:r>
          <w:rPr>
            <w:lang w:val="en_US" w:bidi="en_US"/>
          </w:rPr>
          <w:rPr>
            <w:color w:val="0000EE"/>
            <w:u w:val="single"/>
          </w:rPr>
          <w:t>MAT 23:5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Man with phylacteries on his forehead and arm (© Deutsche Bibelgesellschaft, Stuttgart by United Bible Societies)</w:t>
      </w:r>
      <w:r>
        <w:rPr>
          <w:lang w:val="en_US" w:bidi="en_US"/>
        </w:rPr>
        <w:t>The phylactery was a small leather box containing Old Testament verses.</w:t>
      </w:r>
      <w:r>
        <w:rPr>
          <w:lang w:val="en_US" w:bidi="en_US"/>
        </w:rPr>
      </w:r>
    </w:p>
    <w:p>
      <w:r>
        <w:drawing>
          <wp:inline xmlns:a="http://schemas.openxmlformats.org/drawingml/2006/main" xmlns:pic="http://schemas.openxmlformats.org/drawingml/2006/picture">
            <wp:extent cx="6096000" cy="5972175"/>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5972175"/>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 xml:space="preserve">When Jewish men prayed, they tied these small containers to the forehead and upper left arm near the heart. They did this in obedience to a literal interpretation of </w:t>
      </w:r>
      <w:hyperlink r:id="rId16">
        <w:r>
          <w:rPr>
            <w:lang w:val="en_US" w:bidi="en_US"/>
          </w:rPr>
          <w:rPr>
            <w:color w:val="0000EE"/>
            <w:u w:val="single"/>
          </w:rPr>
          <w:t>EXO 13:9</w:t>
        </w:r>
      </w:hyperlink>
      <w:r>
        <w:rPr>
          <w:lang w:val="en_US" w:bidi="en_US"/>
        </w:rPr>
        <w:t xml:space="preserve">; </w:t>
      </w:r>
      <w:hyperlink r:id="rId17">
        <w:r>
          <w:rPr>
            <w:lang w:val="en_US" w:bidi="en_US"/>
          </w:rPr>
          <w:rPr>
            <w:color w:val="0000EE"/>
            <w:u w:val="single"/>
          </w:rPr>
          <w:t>DEU 6:8</w:t>
        </w:r>
      </w:hyperlink>
      <w:r>
        <w:rPr>
          <w:lang w:val="en_US" w:bidi="en_US"/>
        </w:rPr>
        <w:t xml:space="preserve">; </w:t>
      </w:r>
      <w:hyperlink r:id="rId18">
        <w:r>
          <w:rPr>
            <w:lang w:val="en_US" w:bidi="en_US"/>
          </w:rPr>
          <w:rPr>
            <w:color w:val="0000EE"/>
            <w:u w:val="single"/>
          </w:rPr>
          <w:t>DEU 11:18</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hyperlink r:id="rId14">
        <w:r>
          <w:rPr>
            <w:lang w:val="en_US" w:bidi="en_US"/>
          </w:rPr>
          <w:rPr>
            <w:color w:val="0000EE"/>
            <w:u w:val="single"/>
          </w:rPr>
          <w:t>MAT 23:5</w:t>
        </w:r>
      </w:hyperlink>
      <w:r>
        <w:rPr>
          <w:lang w:val="en_US" w:bidi="en_US"/>
        </w:rPr>
        <w:t xml:space="preserve">: In this verse the word “phylacteries” (so </w:t>
      </w:r>
      <w:r>
        <w:rPr>
          <w:lang w:val="en_US" w:bidi="en_US"/>
        </w:rPr>
        <w:t>RSV</w:t>
      </w:r>
      <w:r>
        <w:rPr>
          <w:lang w:val="en_US" w:bidi="en_US"/>
        </w:rPr>
        <w:t xml:space="preserve"> and most other English translations) is a technical religious term that will not be understood by most readers. </w:t>
      </w:r>
      <w:r>
        <w:rPr>
          <w:lang w:val="en_US" w:bidi="en_US"/>
        </w:rPr>
        <w:t>GNT</w:t>
      </w:r>
      <w:r>
        <w:rPr>
          <w:lang w:val="en_US" w:bidi="en_US"/>
        </w:rPr>
        <w:t xml:space="preserve"> handles the specialized term with the explanatory phrase “straps with scripture verses on them which they wear on their foreheads and arms.” Several translations retain the traditional rendering and provide a footnote to help the reader. Brc (“prayer-boxes”) and </w:t>
      </w:r>
      <w:r>
        <w:rPr>
          <w:lang w:val="en_US" w:bidi="en_US"/>
        </w:rPr>
        <w:t>GECL</w:t>
      </w:r>
      <w:r>
        <w:rPr>
          <w:lang w:val="en_US" w:bidi="en_US"/>
        </w:rPr>
        <w:t xml:space="preserve"> (“prayer straps”) attempt dynamic equivalent translations. There is no good reason to retain the word “phylacteries,” and most translators will use an explanatory phrase like that in </w:t>
      </w:r>
      <w:r>
        <w:rPr>
          <w:lang w:val="en_US" w:bidi="en_US"/>
        </w:rPr>
        <w:t>GNT</w:t>
      </w:r>
      <w:r>
        <w:rPr>
          <w:lang w:val="en_US" w:bidi="en_US"/>
        </w:rPr>
        <w:t xml:space="preserve">. However, the </w:t>
      </w:r>
      <w:r>
        <w:rPr>
          <w:lang w:val="en_US" w:bidi="en_US"/>
        </w:rPr>
        <w:t>GNT</w:t>
      </w:r>
      <w:r>
        <w:rPr>
          <w:lang w:val="en_US" w:bidi="en_US"/>
        </w:rPr>
        <w:t xml:space="preserve"> expression is rather long, and some restructuring may be required to combine it well with the verb “make … broad” (</w:t>
      </w:r>
      <w:r>
        <w:rPr>
          <w:lang w:val="en_US" w:bidi="en_US"/>
        </w:rPr>
        <w:t>RSV</w:t>
      </w:r>
      <w:r>
        <w:rPr>
          <w:lang w:val="en_US" w:bidi="en_US"/>
        </w:rPr>
        <w:t>); for example, “the leather boxes with scripture verses in them that these people wear [on their foreheads and arms] are very big,” “they make sure that the boxes with scripture verses that they wear are really big,” and “see how big they make those little boxes with scripture verses in them, the ones they wear on their foreheads and arms.”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Matt23:5" TargetMode="External"/><Relationship Id="rId15" Type="http://schemas.openxmlformats.org/officeDocument/2006/relationships/image" Target="media/image1.jpg"/><Relationship Id="rId16" Type="http://schemas.openxmlformats.org/officeDocument/2006/relationships/hyperlink" Target="https://ref.ly/Exod13:9" TargetMode="External"/><Relationship Id="rId17" Type="http://schemas.openxmlformats.org/officeDocument/2006/relationships/hyperlink" Target="https://ref.ly/Deut6:8" TargetMode="External"/><Relationship Id="rId18" Type="http://schemas.openxmlformats.org/officeDocument/2006/relationships/hyperlink" Target="https://ref.ly/Deut11: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