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Wristband, magic charm</w:t>
      </w:r>
      <w:r>
        <w:rPr>
          <w:lang w:val="en_US" w:bidi="en_US"/>
        </w:rPr>
      </w:r>
    </w:p>
    <w:p>
      <w:pPr>
        <w:pStyle w:val="Heading1"/>
      </w:pPr>
      <w:r>
        <w:rPr>
          <w:lang w:val="en_US" w:bidi="en_US"/>
        </w:rPr>
        <w:t>6.14</w:t>
      </w:r>
      <w:r>
        <w:rPr>
          <w:lang w:val="en_US" w:bidi="en_US"/>
        </w:rPr>
        <w:t xml:space="preserve"> Wristband, magic charm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כֶּסֶת</w:t>
      </w:r>
      <w:r>
        <w:rPr>
          <w:lang w:val="en_US" w:bidi="en_US"/>
        </w:rPr>
        <w:t xml:space="preserve"> </w:t>
      </w:r>
      <w:r>
        <w:rPr>
          <w:lang w:val="en_US" w:bidi="en_US"/>
        </w:rPr>
        <w:t>(keseth)</w:t>
      </w:r>
      <w:r>
        <w:rPr>
          <w:lang w:val="en_US" w:bidi="en_US"/>
        </w:rPr>
      </w:r>
      <w:hyperlink r:id="rId14">
        <w:r>
          <w:rPr>
            <w:lang w:val="en_US" w:bidi="en_US"/>
          </w:rPr>
          <w:rPr>
            <w:color w:val="0000EE"/>
            <w:u w:val="single"/>
          </w:rPr>
          <w:t>EZK 13:18</w:t>
        </w:r>
      </w:hyperlink>
      <w:r>
        <w:rPr>
          <w:lang w:val="en_US" w:bidi="en_US"/>
        </w:rPr>
        <w:t xml:space="preserve">, </w:t>
      </w:r>
      <w:hyperlink r:id="rId15">
        <w:r>
          <w:rPr>
            <w:lang w:val="en_US" w:bidi="en_US"/>
          </w:rPr>
          <w:rPr>
            <w:color w:val="0000EE"/>
            <w:u w:val="single"/>
          </w:rPr>
          <w:t>EZK 13:20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Bands of cloth worn on the wrist were thought to have protective power (© Osama Shukir Muhammed Amin FRCP(Glasg), CC BY-SA 4.0, via Wikimedia Commons)</w:t>
      </w:r>
      <w:r>
        <w:rPr>
          <w:lang w:val="en_US" w:bidi="en_US"/>
        </w:rPr>
        <w:t>The wristband was a strip of sewn cloth worn on the wrist.</w:t>
      </w:r>
      <w:r>
        <w:rPr>
          <w:lang w:val="en_US" w:bidi="en_US"/>
        </w:rPr>
      </w:r>
    </w:p>
    <w:p>
      <w:r>
        <w:drawing>
          <wp:inline xmlns:a="http://schemas.openxmlformats.org/drawingml/2006/main" xmlns:pic="http://schemas.openxmlformats.org/drawingml/2006/picture">
            <wp:extent cx="6096000" cy="5697794"/>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569779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context of </w:t>
      </w:r>
      <w:hyperlink r:id="rId14">
        <w:r>
          <w:rPr>
            <w:lang w:val="en_US" w:bidi="en_US"/>
          </w:rPr>
          <w:rPr>
            <w:color w:val="0000EE"/>
            <w:u w:val="single"/>
          </w:rPr>
          <w:t>EZK 13:18</w:t>
        </w:r>
      </w:hyperlink>
      <w:r>
        <w:rPr>
          <w:lang w:val="en_US" w:bidi="en_US"/>
        </w:rPr>
        <w:t xml:space="preserve">; </w:t>
      </w:r>
      <w:hyperlink r:id="rId15">
        <w:r>
          <w:rPr>
            <w:lang w:val="en_US" w:bidi="en_US"/>
          </w:rPr>
          <w:rPr>
            <w:color w:val="0000EE"/>
            <w:u w:val="single"/>
          </w:rPr>
          <w:t>EZK 13:20</w:t>
        </w:r>
      </w:hyperlink>
      <w:r>
        <w:rPr>
          <w:lang w:val="en_US" w:bidi="en_US"/>
        </w:rPr>
        <w:t xml:space="preserve"> indicates that these bands of cloth were used in magic rituals. An exact equivalent may be available in some languages. Where no equivalent exists, a descriptive phrase may be used. </w:t>
      </w:r>
      <w:r>
        <w:rPr>
          <w:lang w:val="en_US" w:bidi="en_US"/>
        </w:rPr>
        <w:t>GNT</w:t>
      </w:r>
      <w:r>
        <w:rPr>
          <w:lang w:val="en_US" w:bidi="en_US"/>
        </w:rPr>
        <w:t xml:space="preserve"> calls them “magic wristbands,” while both </w:t>
      </w:r>
      <w:r>
        <w:rPr>
          <w:lang w:val="en_US" w:bidi="en_US"/>
        </w:rPr>
        <w:t>CEV</w:t>
      </w:r>
      <w:r>
        <w:rPr>
          <w:lang w:val="en_US" w:bidi="en_US"/>
        </w:rPr>
        <w:t xml:space="preserve"> and </w:t>
      </w:r>
      <w:r>
        <w:rPr>
          <w:lang w:val="en_US" w:bidi="en_US"/>
        </w:rPr>
        <w:t>NCV</w:t>
      </w:r>
      <w:r>
        <w:rPr>
          <w:lang w:val="en_US" w:bidi="en_US"/>
        </w:rPr>
        <w:t xml:space="preserve"> say “magic charms.” According to verse 18, they were sewn on “all the joints of the hands,” which is taken by all translations consulted to mean the wrists and not the elbows, as noted in the Hebrew lexicon by Brown, Driver, and Briggs under the word </w:t>
      </w:r>
      <w:r>
        <w:rPr>
          <w:i/>
          <w:lang w:val="en_US" w:bidi="en_US"/>
        </w:rPr>
        <w:t>’atsil</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13:18" TargetMode="External"/><Relationship Id="rId15" Type="http://schemas.openxmlformats.org/officeDocument/2006/relationships/hyperlink" Target="https://ref.ly/Ezek13:20"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