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Handkerchief, cloth</w:t>
      </w:r>
      <w:r>
        <w:rPr>
          <w:lang w:val="en_US" w:bidi="en_US"/>
        </w:rPr>
      </w:r>
    </w:p>
    <w:p>
      <w:pPr>
        <w:pStyle w:val="Heading1"/>
      </w:pPr>
      <w:r>
        <w:rPr>
          <w:lang w:val="en_US" w:bidi="en_US"/>
        </w:rPr>
        <w:t>10.3</w:t>
      </w:r>
      <w:r>
        <w:rPr>
          <w:lang w:val="en_US" w:bidi="en_US"/>
        </w:rPr>
        <w:t xml:space="preserve"> Handkerchief, cloth</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σουδάριον</w:t>
      </w:r>
      <w:r>
        <w:rPr>
          <w:lang w:val="en_US" w:bidi="en_US"/>
        </w:rPr>
        <w:t xml:space="preserve"> </w:t>
      </w:r>
      <w:r>
        <w:rPr>
          <w:lang w:val="en_US" w:bidi="en_US"/>
        </w:rPr>
        <w:t>(soudarion)</w:t>
      </w:r>
      <w:r>
        <w:rPr>
          <w:lang w:val="en_US" w:bidi="en_US"/>
        </w:rPr>
      </w:r>
      <w:hyperlink r:id="rId14">
        <w:r>
          <w:rPr>
            <w:lang w:val="en_US" w:bidi="en_US"/>
          </w:rPr>
          <w:rPr>
            <w:color w:val="0000EE"/>
            <w:u w:val="single"/>
          </w:rPr>
          <w:t>LUK 19:20</w:t>
        </w:r>
      </w:hyperlink>
      <w:r>
        <w:rPr>
          <w:lang w:val="en_US" w:bidi="en_US"/>
        </w:rPr>
        <w:t xml:space="preserve">, </w:t>
      </w:r>
      <w:hyperlink r:id="rId15">
        <w:r>
          <w:rPr>
            <w:lang w:val="en_US" w:bidi="en_US"/>
          </w:rPr>
          <w:rPr>
            <w:color w:val="0000EE"/>
            <w:u w:val="single"/>
          </w:rPr>
          <w:t>JHN 11:44</w:t>
        </w:r>
      </w:hyperlink>
      <w:r>
        <w:rPr>
          <w:lang w:val="en_US" w:bidi="en_US"/>
        </w:rPr>
        <w:t xml:space="preserve">, </w:t>
      </w:r>
      <w:hyperlink r:id="rId16">
        <w:r>
          <w:rPr>
            <w:lang w:val="en_US" w:bidi="en_US"/>
          </w:rPr>
          <w:rPr>
            <w:color w:val="0000EE"/>
            <w:u w:val="single"/>
          </w:rPr>
          <w:t>JHN 20:7</w:t>
        </w:r>
      </w:hyperlink>
      <w:r>
        <w:rPr>
          <w:lang w:val="en_US" w:bidi="en_US"/>
        </w:rPr>
        <w:t xml:space="preserve">, </w:t>
      </w:r>
      <w:hyperlink r:id="rId17">
        <w:r>
          <w:rPr>
            <w:lang w:val="en_US" w:bidi="en_US"/>
          </w:rPr>
          <w:rPr>
            <w:color w:val="0000EE"/>
            <w:u w:val="single"/>
          </w:rPr>
          <w:t>ACT 19:12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κειρία</w:t>
      </w:r>
      <w:r>
        <w:rPr>
          <w:lang w:val="en_US" w:bidi="en_US"/>
        </w:rPr>
        <w:t xml:space="preserve"> </w:t>
      </w:r>
      <w:r>
        <w:rPr>
          <w:lang w:val="en_US" w:bidi="en_US"/>
        </w:rPr>
        <w:t>(keiria)</w:t>
      </w:r>
      <w:r>
        <w:rPr>
          <w:lang w:val="en_US" w:bidi="en_US"/>
        </w:rPr>
      </w:r>
      <w:hyperlink r:id="rId15">
        <w:r>
          <w:rPr>
            <w:lang w:val="en_US" w:bidi="en_US"/>
          </w:rPr>
          <w:rPr>
            <w:color w:val="0000EE"/>
            <w:u w:val="single"/>
          </w:rPr>
          <w:t>JHN 11:44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handkerchief was a small, rectangular piece of cloth used for wiping perspiration from the face. It was also sometimes tied around the forehead by workmen to keep the sweat from running into the eyes and face.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For all of the above references, translators may use a generic word or phrase, such as “piece of cloth.” Some languages will have a special word for a cloth for wiping the face. This may be used in </w:t>
      </w:r>
      <w:hyperlink r:id="rId14">
        <w:r>
          <w:rPr>
            <w:lang w:val="en_US" w:bidi="en_US"/>
          </w:rPr>
          <w:rPr>
            <w:color w:val="0000EE"/>
            <w:u w:val="single"/>
          </w:rPr>
          <w:t>LUK 19:20</w:t>
        </w:r>
      </w:hyperlink>
      <w:r>
        <w:rPr>
          <w:lang w:val="en_US" w:bidi="en_US"/>
        </w:rPr>
        <w:t xml:space="preserve"> and </w:t>
      </w:r>
      <w:hyperlink r:id="rId17">
        <w:r>
          <w:rPr>
            <w:lang w:val="en_US" w:bidi="en_US"/>
          </w:rPr>
          <w:rPr>
            <w:color w:val="0000EE"/>
            <w:u w:val="single"/>
          </w:rPr>
          <w:t>ACT 19:12</w:t>
        </w:r>
      </w:hyperlink>
      <w:r>
        <w:rPr>
          <w:lang w:val="en_US" w:bidi="en_US"/>
        </w:rPr>
        <w:t>.</w:t>
      </w:r>
      <w:r>
        <w:rPr>
          <w:lang w:val="en_US" w:bidi="en_US"/>
        </w:rPr>
      </w:r>
    </w:p>
    <w:p>
      <w:pPr/>
      <w:r>
        <w:rPr>
          <w:lang w:val="en_US" w:bidi="en_US"/>
        </w:rPr>
      </w:r>
      <w:r>
        <w:rPr>
          <w:lang w:val="en_US" w:bidi="en_US"/>
        </w:rPr>
      </w:r>
      <w:hyperlink r:id="rId15">
        <w:r>
          <w:rPr>
            <w:lang w:val="en_US" w:bidi="en_US"/>
          </w:rPr>
          <w:rPr>
            <w:color w:val="0000EE"/>
            <w:u w:val="single"/>
          </w:rPr>
          <w:t>JHN 11:44</w:t>
        </w:r>
      </w:hyperlink>
      <w:r>
        <w:rPr>
          <w:lang w:val="en_US" w:bidi="en_US"/>
        </w:rPr>
        <w:t xml:space="preserve">; </w:t>
      </w:r>
      <w:hyperlink r:id="rId16">
        <w:r>
          <w:rPr>
            <w:lang w:val="en_US" w:bidi="en_US"/>
          </w:rPr>
          <w:rPr>
            <w:color w:val="0000EE"/>
            <w:u w:val="single"/>
          </w:rPr>
          <w:t>JHN 20:7</w:t>
        </w:r>
      </w:hyperlink>
      <w:r>
        <w:rPr>
          <w:lang w:val="en_US" w:bidi="en_US"/>
        </w:rPr>
        <w:t xml:space="preserve">: The Greek word </w:t>
      </w:r>
      <w:r>
        <w:rPr>
          <w:i/>
          <w:lang w:val="en_US" w:bidi="en_US"/>
        </w:rPr>
        <w:t>soudarion</w:t>
      </w:r>
      <w:r>
        <w:rPr>
          <w:lang w:val="en_US" w:bidi="en_US"/>
        </w:rPr>
        <w:t xml:space="preserve"> in these verses refers to cloths used to cover or wrap the face of a person who was being buried. This may have been done especially in the case of poor people. Some societies may have a special word for such a piece of cloth or other material. </w:t>
      </w:r>
      <w:hyperlink r:id="rId15">
        <w:r>
          <w:rPr>
            <w:lang w:val="en_US" w:bidi="en_US"/>
          </w:rPr>
          <w:rPr>
            <w:color w:val="0000EE"/>
            <w:u w:val="single"/>
          </w:rPr>
          <w:t>JHN 11:44</w:t>
        </w:r>
      </w:hyperlink>
      <w:r>
        <w:rPr>
          <w:lang w:val="en_US" w:bidi="en_US"/>
        </w:rPr>
        <w:t xml:space="preserve"> says Lazarus had his hands and feet bound with “strips of linen cloth” (</w:t>
      </w:r>
      <w:r>
        <w:rPr>
          <w:i/>
          <w:lang w:val="en_US" w:bidi="en_US"/>
        </w:rPr>
        <w:t>keiria</w:t>
      </w:r>
      <w:r>
        <w:rPr>
          <w:lang w:val="en_US" w:bidi="en_US"/>
        </w:rPr>
        <w:t xml:space="preserve"> in Greek). The length and width of these cloth strips is not known. </w:t>
      </w:r>
      <w:r>
        <w:rPr>
          <w:lang w:val="en_US" w:bidi="en_US"/>
        </w:rPr>
        <w:t>NIV</w:t>
      </w:r>
      <w:r>
        <w:rPr>
          <w:lang w:val="en_US" w:bidi="en_US"/>
        </w:rPr>
        <w:t xml:space="preserve"> provides a good model for translation with “strips of linen.”</w:t>
      </w:r>
      <w:r>
        <w:rPr>
          <w:lang w:val="en_US" w:bidi="en_US"/>
        </w:rPr>
      </w:r>
    </w:p>
    <w:p>
      <w:pPr/>
      <w:r>
        <w:rPr>
          <w:lang w:val="en_US" w:bidi="en_US"/>
        </w:rPr>
      </w:r>
      <w:r>
        <w:rPr>
          <w:lang w:val="en_US" w:bidi="en_US"/>
        </w:rPr>
        <w:t xml:space="preserve">See also the discussion on the Hebrew word </w:t>
      </w:r>
      <w:r>
        <w:rPr>
          <w:i/>
          <w:lang w:val="en_US" w:bidi="en_US"/>
        </w:rPr>
        <w:t>sdinim</w:t>
      </w:r>
      <w:r>
        <w:rPr>
          <w:lang w:val="en_US" w:bidi="en_US"/>
        </w:rPr>
        <w:t xml:space="preserve"> in </w:t>
      </w:r>
      <w:hyperlink r:id="rId18">
        <w:r>
          <w:rPr>
            <w:lang w:val="en_US" w:bidi="en_US"/>
          </w:rPr>
          <w:rPr>
            <w:color w:val="0000EE"/>
            <w:u w:val="single"/>
          </w:rPr>
          <w:t>ISA 3:23</w:t>
        </w:r>
      </w:hyperlink>
      <w:r>
        <w:rPr>
          <w:lang w:val="en_US" w:bidi="en_US"/>
        </w:rPr>
        <w:t xml:space="preserve"> under </w:t>
      </w:r>
      <w:hyperlink r:id="rId19">
        <w:r>
          <w:rPr>
            <w:lang w:val="en_US" w:bidi="en_US"/>
          </w:rPr>
          <w:rPr>
            <w:color w:val="0000EE"/>
            <w:u w:val="single"/>
          </w:rPr>
          <w:t>10.5 Jewelry, ornaments&lt;REALIA:10.5&gt;</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uke19:20" TargetMode="External"/><Relationship Id="rId15" Type="http://schemas.openxmlformats.org/officeDocument/2006/relationships/hyperlink" Target="https://ref.ly/John11:44" TargetMode="External"/><Relationship Id="rId16" Type="http://schemas.openxmlformats.org/officeDocument/2006/relationships/hyperlink" Target="https://ref.ly/John20:7" TargetMode="External"/><Relationship Id="rId17" Type="http://schemas.openxmlformats.org/officeDocument/2006/relationships/hyperlink" Target="https://ref.ly/Acts19:12" TargetMode="External"/><Relationship Id="rId18" Type="http://schemas.openxmlformats.org/officeDocument/2006/relationships/hyperlink" Target="https://ref.ly/Isa3:23" TargetMode="External"/><Relationship Id="rId19"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