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ὅτι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ὅτι 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&amp;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ὅτι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ὅτι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ὅτι Βεελζεβοὺλ ἔχει; καὶ, ὅτι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οὐ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οὐ 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μὲν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τῶν ἐπὶ τῆς γῆς &amp;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ὅτι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&amp;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w:t>
      </w:r>
      <w:hyperlink r:id="rId13">
        <w:r>
          <w:rPr>
            <w:lang w:val="fr_FR" w:bidi="fr_FR"/>
          </w:rPr>
          <w:rPr>
            <w:color w:val="0000EE"/>
            <w:u w:val="single"/>
          </w:rPr>
          <w:t>6.12</w:t>
        </w:r>
      </w:hyperlink>
      <w:r>
        <w:rPr>
          <w:lang w:val="fr_FR" w:bidi="fr_FR"/>
        </w:rPr>
        <w:t>.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ὅτι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ὅτι Ἠλείας ἐστίν; ἄλλοι δὲ ἔλεγον, ὅτι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ὅτι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ὅτι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&amp;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&amp;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ὅτι Ἰωάννην τὸν Βαπτιστήν, καὶ ἄλλοι Ἠλείαν, ἄλλοι δὲ ὅτι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ὅτι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τὸ 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τὸ 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νηστείᾳ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νηστείᾳ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p>
    <w:p>
      <w:pPr/>
      <w:r>
        <w:rPr>
          <w:lang w:val="fr_FR" w:bidi="fr_FR"/>
        </w:rPr>
      </w:r>
      <w:r>
        <w:rPr>
          <w:b/>
          <w:lang w:val="fr_FR" w:bidi="fr_FR"/>
        </w:rPr>
        <w:t>« [et où le feu ne s'éteint point] »</w:t>
      </w:r>
    </w:p>
    <w:p>
      <w:pPr/>
      <w:r>
        <w:rPr>
          <w:lang w:val="fr_FR" w:bidi="fr_FR"/>
        </w:rPr>
      </w:r>
      <w:r>
        <w:rPr>
          <w:lang w:val="fr_FR" w:bidi="fr_FR"/>
        </w:rPr>
        <w:t>Dans le texte grec, la forme verbale utilisée ici est passive. Selon les langues, une forme verbale active ou pronominale sera plus naturelle. Si vous choisissez d'inclure cette partie du verset, choisissez la formulation la plus naturelle dans votre langue, que ce soit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&amp;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&amp; καὶ ἔσονται οἱ δύο εἰς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&amp;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&amp;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ὅτι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ὁ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ὁ 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μὲν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ὅτι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ὅτι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ὅτι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ὅτι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πᾶσα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πᾶσα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αἱ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αἱ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ὅτι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ὅτι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ὅτι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ὅτι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ὅτι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Πέτρῳ, ὅτι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