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comprennent ni »</w:t>
      </w:r>
      <w:r>
        <w:rPr>
          <w:lang w:val="fr_FR" w:bidi="fr_FR"/>
        </w:rPr>
        <w:t xml:space="preserve"> - </w:t>
      </w:r>
      <w:r>
        <w:rPr>
          <w:b/>
          <w:lang w:val="fr_FR" w:bidi="fr_FR"/>
        </w:rPr>
        <w:t>« ni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ni</w:t>
      </w:r>
      <w:r>
        <w:rPr>
          <w:lang w:val="fr_FR" w:bidi="fr_FR"/>
        </w:rPr>
        <w:t xml:space="preserve"> correspondent à trois connotations de négation. Dans cette structure syntaxique, les deuxième et troisième négations ne neutralisent pas la première pour créer une connotation positive. Au contraire, elles accentuent davantage la négation. Si votre langue peut utiliser trois négations qui ne s'annulent pas pour créer un sens positif, vous pouvez utiliser une triple négation ici. Si votre langue n'utilise pas trois négations ainsi, vous pouvez traduire avec une ou deux négations. Traduction alternative : « ne comprennent ni… encore moins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5">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6">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pour le juste, mais pour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substantifs pour désigner des groupes de personnes. Votre langue utilise peut-être les adjectifs de la même manière. Sinon, vous pouvez traduire ces mots par des termes équivalents. Traduction alternative : « pour les hommes justes, mais pour les hommes sans foi ni loi et les rebelles, les hommes impies et pécheurs, les hommes impurs et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xml:space="preserve">« </w:t>
      </w:r>
      <w:r>
        <w:rPr>
          <w:b/>
          <w:lang w:val="fr_FR" w:bidi="fr_FR"/>
        </w:rPr>
        <w:t xml:space="preserve">les meurtriers </w:t>
      </w:r>
      <w:r>
        <w:rPr>
          <w:b/>
          <w:lang w:val="fr_FR" w:bidi="fr_FR"/>
        </w:rPr>
        <w:t>»</w:t>
      </w:r>
    </w:p>
    <w:p>
      <w:pPr/>
      <w:r>
        <w:rPr>
          <w:lang w:val="fr_FR" w:bidi="fr_FR"/>
        </w:rPr>
      </w:r>
      <w:r>
        <w:rPr>
          <w:lang w:val="fr_FR" w:bidi="fr_FR"/>
        </w:rPr>
        <w:t xml:space="preserve">Bien que le mot </w:t>
      </w:r>
      <w:r>
        <w:rPr>
          <w:b/>
          <w:lang w:val="fr_FR" w:bidi="fr_FR"/>
        </w:rPr>
        <w:t>meurtriers</w:t>
      </w:r>
      <w:r>
        <w:rPr>
          <w:lang w:val="fr_FR" w:bidi="fr_FR"/>
        </w:rPr>
        <w:t xml:space="preserve"> soit masculin, Paul l'utilise dans un sens générique qui inclut à la fois les hommes et les femmes. Si besoin dans votre langue, vous pouvez utiliser une expression qui le précise. Traduction alternative : « les personnes qui tuent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17">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18">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19">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0">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1">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2">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2">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3">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25">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26">
        <w:r>
          <w:rPr>
            <w:lang w:val="fr_FR" w:bidi="fr_FR"/>
          </w:rPr>
          <w:rPr>
            <w:color w:val="0000EE"/>
            <w:u w:val="single"/>
          </w:rPr>
          <w:t>2.9–10</w:t>
        </w:r>
      </w:hyperlink>
      <w:r>
        <w:rPr>
          <w:lang w:val="fr_FR" w:bidi="fr_FR"/>
        </w:rPr>
        <w:t xml:space="preserve"> au singulier « femme » en </w:t>
      </w:r>
      <w:hyperlink r:id="rId25">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27">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28">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17">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29">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0">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0">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1">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4"/>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32">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33">
        <w:r>
          <w:rPr>
            <w:lang w:val="fr_FR" w:bidi="fr_FR"/>
          </w:rPr>
          <w:rPr>
            <w:color w:val="0000EE"/>
            <w:u w:val="single"/>
          </w:rPr>
          <w:t>4.1–5</w:t>
        </w:r>
      </w:hyperlink>
      <w:r>
        <w:rPr>
          <w:lang w:val="fr_FR" w:bidi="fr_FR"/>
        </w:rPr>
        <w:t xml:space="preserve">, </w:t>
      </w:r>
      <w:hyperlink r:id="rId34">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35">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17">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36">
        <w:r>
          <w:rPr>
            <w:lang w:val="fr_FR" w:bidi="fr_FR"/>
          </w:rPr>
          <w:rPr>
            <w:color w:val="0000EE"/>
            <w:u w:val="single"/>
          </w:rPr>
          <w:t>4.10</w:t>
        </w:r>
      </w:hyperlink>
      <w:r>
        <w:rPr>
          <w:lang w:val="fr_FR" w:bidi="fr_FR"/>
        </w:rPr>
        <w:t xml:space="preserve">. Traduction alternative : « La parole suivante » (2) à ce que Paul a écrit en </w:t>
      </w:r>
      <w:hyperlink r:id="rId3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3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3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dans un sens générique qui inclut à la fois les hommes et les femmes. Si c'est utile dans votre langue, vous pouvez préciser cette idée. Traduction alternative : « de tous les humains » ou « de tous les hommes et de toutes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40">
        <w:r>
          <w:rPr>
            <w:lang w:val="fr_FR" w:bidi="fr_FR"/>
          </w:rPr>
          <w:rPr>
            <w:color w:val="0000EE"/>
            <w:u w:val="single"/>
          </w:rPr>
          <w:t>4.6–10</w:t>
        </w:r>
      </w:hyperlink>
      <w:r>
        <w:rPr>
          <w:lang w:val="fr_FR" w:bidi="fr_FR"/>
        </w:rPr>
        <w:t xml:space="preserve">, </w:t>
      </w:r>
      <w:hyperlink r:id="rId4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42">
        <w:r>
          <w:rPr>
            <w:lang w:val="fr_FR" w:bidi="fr_FR"/>
          </w:rPr>
          <w:rPr>
            <w:color w:val="0000EE"/>
            <w:u w:val="single"/>
          </w:rPr>
          <w:t>4.11–14</w:t>
        </w:r>
      </w:hyperlink>
      <w:r>
        <w:rPr>
          <w:lang w:val="fr_FR" w:bidi="fr_FR"/>
        </w:rPr>
        <w:t xml:space="preserve">, </w:t>
      </w:r>
      <w:hyperlink r:id="rId4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ou même plus spécifiquement tous les croyants. Votre langue peut utiliser les adjectifs de la même façon. Sinon, vous pourriez traduire ce mot par une phrase équivalente. Traduction alternative : « à tout le monde » ou « à tous les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4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des siens »</w:t>
      </w:r>
      <w:r>
        <w:rPr>
          <w:lang w:val="fr_FR" w:bidi="fr_FR"/>
        </w:rPr>
        <w:t xml:space="preserve"> – </w:t>
      </w:r>
      <w:r>
        <w:rPr>
          <w:b/>
          <w:lang w:val="fr_FR" w:bidi="fr_FR"/>
        </w:rPr>
        <w:t>« il a renié »</w:t>
      </w:r>
    </w:p>
    <w:p>
      <w:pPr/>
      <w:r>
        <w:rPr>
          <w:lang w:val="fr_FR" w:bidi="fr_FR"/>
        </w:rPr>
      </w:r>
      <w:r>
        <w:rPr>
          <w:lang w:val="fr_FR" w:bidi="fr_FR"/>
        </w:rPr>
        <w:t xml:space="preserve">Bien que les termes </w:t>
      </w:r>
      <w:r>
        <w:rPr>
          <w:b/>
          <w:lang w:val="fr_FR" w:bidi="fr_FR"/>
        </w:rPr>
        <w:t xml:space="preserve">siens </w:t>
      </w:r>
      <w:r>
        <w:rPr>
          <w:lang w:val="fr_FR" w:bidi="fr_FR"/>
        </w:rPr>
        <w:t xml:space="preserve">et </w:t>
      </w:r>
      <w:r>
        <w:rPr>
          <w:b/>
          <w:lang w:val="fr_FR" w:bidi="fr_FR"/>
        </w:rPr>
        <w:t>il</w:t>
      </w:r>
      <w:r>
        <w:rPr>
          <w:lang w:val="fr_FR" w:bidi="fr_FR"/>
        </w:rPr>
        <w:t xml:space="preserve"> soient masculins, Paul utilise ces mots dans un sens général qui englobe à la fois les hommes et les femmes. Si c'est utile dans votre langue, vous pouvez utiliser des expressions qui le précisent. Traduction alternative : « de sa famille … cette personne a renié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29">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46">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47">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48">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49">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sous-entendue ici qu'elle </w:t>
      </w:r>
      <w:r>
        <w:rPr>
          <w:b/>
          <w:lang w:val="fr_FR" w:bidi="fr_FR"/>
        </w:rPr>
        <w:t>a des veuves</w:t>
      </w:r>
      <w:r>
        <w:rPr>
          <w:lang w:val="fr_FR" w:bidi="fr_FR"/>
        </w:rPr>
        <w:t xml:space="preserve"> dans sa famille élargie.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il doit les assister.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50">
        <w:r>
          <w:rPr>
            <w:lang w:val="fr_FR" w:bidi="fr_FR"/>
          </w:rPr>
          <w:rPr>
            <w:color w:val="0000EE"/>
            <w:u w:val="single"/>
          </w:rPr>
          <w:t>Deutéronome 2</w:t>
        </w:r>
      </w:hyperlink>
      <w:hyperlink r:id="rId50">
        <w:r>
          <w:rPr>
            <w:lang w:val="fr_FR" w:bidi="fr_FR"/>
          </w:rPr>
          <w:rPr>
            <w:color w:val="0000EE"/>
            <w:u w:val="single"/>
          </w:rPr>
          <w:t>5.4</w:t>
        </w:r>
      </w:hyperlink>
      <w:r>
        <w:rPr>
          <w:lang w:val="fr_FR" w:bidi="fr_FR"/>
        </w:rPr>
        <w:t xml:space="preserve">. Puis il cite des paroles prononcées par Jésus telles que rapportées en </w:t>
      </w:r>
      <w:hyperlink r:id="rId51">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tous les croyants. Votre langue utilise peut-être les adjectifs de la même manière. Sinon, vous pouvez traduire ce mot par une expression équivalente. Traduction alternative : « tous les croyants » ou « l'ensemble du groupe de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52">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c'est utile dans votre langue, vous pouvez dire « frères et sœurs » pour l'indiquer.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Si votre langue n'utilise pas cette forme passive, vous pouvez exprimer l'idée sous une forme active ou d'une manière plus naturelle dans votre langue. Si vous devez préciser qui est le sujet de l'action, vous pouvez indiquer que c'est : (1) Dieu. Traduction alternative : « ceux que Dieu aime » (2) d'autres croyants, y compris ceux qui vivent sous la servitude. Traduction alternative : « ceux que les croyants aiment » ou « ceux que les esclaves aiment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53">
        <w:r>
          <w:rPr>
            <w:lang w:val="fr_FR" w:bidi="fr_FR"/>
          </w:rPr>
          <w:rPr>
            <w:color w:val="0000EE"/>
            <w:u w:val="single"/>
          </w:rPr>
          <w:t>6.1–2</w:t>
        </w:r>
      </w:hyperlink>
      <w:r>
        <w:rPr>
          <w:lang w:val="fr_FR" w:bidi="fr_FR"/>
        </w:rPr>
        <w:t xml:space="preserve">, </w:t>
      </w:r>
      <w:hyperlink r:id="rId54">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15"/>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55">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hyperlink r:id="rId56">
        <w:r>
          <w:rPr>
            <w:lang w:val="fr_FR" w:bidi="fr_FR"/>
          </w:rPr>
          <w:rPr>
            <w:color w:val="0000EE"/>
            <w:u w:val="single"/>
          </w:rPr>
          <w:t xml:space="preserve">1.3 </w:t>
        </w:r>
      </w:hyperlink>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 xml:space="preserve">Bien que le terme </w:t>
      </w:r>
      <w:r>
        <w:rPr>
          <w:b/>
          <w:lang w:val="fr_FR" w:bidi="fr_FR"/>
        </w:rPr>
        <w:t>il</w:t>
      </w:r>
      <w:r>
        <w:rPr>
          <w:lang w:val="fr_FR" w:bidi="fr_FR"/>
        </w:rPr>
        <w:t xml:space="preserve"> soit masculin, Paul utilise le mot dans un sens générique qui inclut à la fois les hommes et les femmes. Si c'est utile dans votre langue, vous pouvez utiliser une expression plus claire. Traduction alternative : « cette personne est enflée d'orgueil » ou « il ou elle est enflé(e) d'orgueil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57">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&amp;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58">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58">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16"/>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17"/>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59">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60">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ἀνθρώπους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c'est utile dans votre langue, vous pouvez utiliser une expression qui le clarifie.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61">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62">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tous les humains, à la fois les hommes et les femmes. Si c'est utile dans votre langue, vous pouvez formuler la chose de façon plus explicite. Traduction alternative : « personne parmi les humains » ou « aucun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18"/>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63">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64">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65">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2:1-1Tim2:2" TargetMode="External"/><Relationship Id="rId22" Type="http://schemas.openxmlformats.org/officeDocument/2006/relationships/hyperlink" Target="https://ref.ly/1Tim2:3" TargetMode="External"/><Relationship Id="rId23" Type="http://schemas.openxmlformats.org/officeDocument/2006/relationships/hyperlink" Target="https://ref.ly/1Tim2:1-1Tim2:7" TargetMode="External"/><Relationship Id="rId24" Type="http://schemas.openxmlformats.org/officeDocument/2006/relationships/hyperlink" Target="https://ref.ly/1Tim2:2" TargetMode="External"/><Relationship Id="rId25" Type="http://schemas.openxmlformats.org/officeDocument/2006/relationships/hyperlink" Target="https://ref.ly/1Tim2:11" TargetMode="External"/><Relationship Id="rId26" Type="http://schemas.openxmlformats.org/officeDocument/2006/relationships/hyperlink" Target="https://ref.ly/1Tim2:9-1Tim2:10" TargetMode="External"/><Relationship Id="rId27" Type="http://schemas.openxmlformats.org/officeDocument/2006/relationships/hyperlink" Target="https://ref.ly/Gen2:5-Gen2:25" TargetMode="External"/><Relationship Id="rId28" Type="http://schemas.openxmlformats.org/officeDocument/2006/relationships/hyperlink" Target="https://ref.ly/Gen3:1-Gen3:7" TargetMode="External"/><Relationship Id="rId29" Type="http://schemas.openxmlformats.org/officeDocument/2006/relationships/hyperlink" Target="https://ref.ly/1Tim3:2" TargetMode="External"/><Relationship Id="rId30" Type="http://schemas.openxmlformats.org/officeDocument/2006/relationships/hyperlink" Target="https://ref.ly/1Tim3:8-1Tim3:12" TargetMode="External"/><Relationship Id="rId31" Type="http://schemas.openxmlformats.org/officeDocument/2006/relationships/hyperlink" Target="https://ref.ly/1Tim3:1-1Tim3:12" TargetMode="External"/><Relationship Id="rId32" Type="http://schemas.openxmlformats.org/officeDocument/2006/relationships/hyperlink" Target="https://ref.ly/1Tim4:4" TargetMode="External"/><Relationship Id="rId33" Type="http://schemas.openxmlformats.org/officeDocument/2006/relationships/hyperlink" Target="https://ref.ly/1Tim4:1-1Tim4:5" TargetMode="External"/><Relationship Id="rId34" Type="http://schemas.openxmlformats.org/officeDocument/2006/relationships/hyperlink" Target="https://ref.ly/1Tim3:14-1Tim4:5" TargetMode="External"/><Relationship Id="rId35" Type="http://schemas.openxmlformats.org/officeDocument/2006/relationships/hyperlink" Target="https://ref.ly/1Tim1:4" TargetMode="External"/><Relationship Id="rId36" Type="http://schemas.openxmlformats.org/officeDocument/2006/relationships/hyperlink" Target="https://ref.ly/1Tim4:10" TargetMode="External"/><Relationship Id="rId37" Type="http://schemas.openxmlformats.org/officeDocument/2006/relationships/hyperlink" Target="https://ref.ly/1Tim4:8" TargetMode="External"/><Relationship Id="rId38" Type="http://schemas.openxmlformats.org/officeDocument/2006/relationships/hyperlink" Target="https://ref.ly/1Tim4:9" TargetMode="External"/><Relationship Id="rId39" Type="http://schemas.openxmlformats.org/officeDocument/2006/relationships/hyperlink" Target="https://ref.ly/1Tim3:15" TargetMode="External"/><Relationship Id="rId40" Type="http://schemas.openxmlformats.org/officeDocument/2006/relationships/hyperlink" Target="https://ref.ly/1Tim4:6-1Tim4:10" TargetMode="External"/><Relationship Id="rId41" Type="http://schemas.openxmlformats.org/officeDocument/2006/relationships/hyperlink" Target="https://ref.ly/1Tim4:1-1Tim4:10" TargetMode="External"/><Relationship Id="rId42" Type="http://schemas.openxmlformats.org/officeDocument/2006/relationships/hyperlink" Target="https://ref.ly/1Tim4:11-1Tim4:14" TargetMode="External"/><Relationship Id="rId43" Type="http://schemas.openxmlformats.org/officeDocument/2006/relationships/hyperlink" Target="https://ref.ly/1Tim4:6-1Tim4:14" TargetMode="External"/><Relationship Id="rId44" Type="http://schemas.openxmlformats.org/officeDocument/2006/relationships/hyperlink" Target="https://ref.ly/1Tim4:15" TargetMode="External"/><Relationship Id="rId45" Type="http://schemas.openxmlformats.org/officeDocument/2006/relationships/hyperlink" Target="https://ref.ly/1Tim5:3" TargetMode="External"/><Relationship Id="rId46" Type="http://schemas.openxmlformats.org/officeDocument/2006/relationships/hyperlink" Target="https://ref.ly/1Tim5:9" TargetMode="External"/><Relationship Id="rId47" Type="http://schemas.openxmlformats.org/officeDocument/2006/relationships/hyperlink" Target="https://ref.ly/1Tim5:14" TargetMode="External"/><Relationship Id="rId48" Type="http://schemas.openxmlformats.org/officeDocument/2006/relationships/hyperlink" Target="https://ref.ly/1Tim5:4" TargetMode="External"/><Relationship Id="rId49" Type="http://schemas.openxmlformats.org/officeDocument/2006/relationships/hyperlink" Target="https://ref.ly/1Tim5:11-1Tim5:13" TargetMode="External"/><Relationship Id="rId50" Type="http://schemas.openxmlformats.org/officeDocument/2006/relationships/hyperlink" Target="https://ref.ly/Deut25:4" TargetMode="External"/><Relationship Id="rId51" Type="http://schemas.openxmlformats.org/officeDocument/2006/relationships/hyperlink" Target="https://ref.ly/Luke10:7" TargetMode="External"/><Relationship Id="rId52" Type="http://schemas.openxmlformats.org/officeDocument/2006/relationships/hyperlink" Target="https://ref.ly/1Tim5:17-1Tim5:20" TargetMode="External"/><Relationship Id="rId53" Type="http://schemas.openxmlformats.org/officeDocument/2006/relationships/hyperlink" Target="https://ref.ly/1Tim6:1-1Tim6:2" TargetMode="External"/><Relationship Id="rId54" Type="http://schemas.openxmlformats.org/officeDocument/2006/relationships/hyperlink" Target="https://ref.ly/1Tim5:3-1Tim6:2" TargetMode="External"/><Relationship Id="rId55" Type="http://schemas.openxmlformats.org/officeDocument/2006/relationships/hyperlink" Target="https://ref.ly/1Tim1:10" TargetMode="External"/><Relationship Id="rId56" Type="http://schemas.openxmlformats.org/officeDocument/2006/relationships/hyperlink" Target="https://ref.ly/1Tim1:3" TargetMode="External"/><Relationship Id="rId57" Type="http://schemas.openxmlformats.org/officeDocument/2006/relationships/hyperlink" Target="https://ref.ly/1Tim3:6" TargetMode="External"/><Relationship Id="rId58" Type="http://schemas.openxmlformats.org/officeDocument/2006/relationships/hyperlink" Target="https://ref.ly/1Tim6:5" TargetMode="External"/><Relationship Id="rId59" Type="http://schemas.openxmlformats.org/officeDocument/2006/relationships/hyperlink" Target="https://ref.ly/1Tim6:8" TargetMode="External"/><Relationship Id="rId60" Type="http://schemas.openxmlformats.org/officeDocument/2006/relationships/hyperlink" Target="https://ref.ly/1Tim3:7" TargetMode="External"/><Relationship Id="rId61" Type="http://schemas.openxmlformats.org/officeDocument/2006/relationships/hyperlink" Target="https://ref.ly/1Tim5:21" TargetMode="External"/><Relationship Id="rId62" Type="http://schemas.openxmlformats.org/officeDocument/2006/relationships/hyperlink" Target="https://ref.ly/1Tim2:6" TargetMode="External"/><Relationship Id="rId63" Type="http://schemas.openxmlformats.org/officeDocument/2006/relationships/hyperlink" Target="https://ref.ly/1Tim6:17" TargetMode="External"/><Relationship Id="rId64" Type="http://schemas.openxmlformats.org/officeDocument/2006/relationships/hyperlink" Target="https://ref.ly/1Tim6:12" TargetMode="External"/><Relationship Id="rId6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