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de traduction (unfoldingWord)</w:t>
      </w:r>
      <w:r>
        <w:rPr>
          <w:lang w:val="fr_FR" w:bidi="fr_FR"/>
        </w:rPr>
        <w:t xml:space="preserve"> (French) is based on</w:t>
      </w:r>
      <w:r>
        <w:rPr>
          <w:lang w:val="fr_FR" w:bidi="fr_FR"/>
        </w:rPr>
        <w:t xml:space="preserve">: </w:t>
      </w:r>
      <w:r>
        <w:rPr>
          <w:lang w:val="fr_FR" w:bidi="fr_FR"/>
        </w:rPr>
        <w:t>unfoldingWord® Translation Notes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i/>
          <w:lang w:val="fr_FR" w:bidi="fr_FR"/>
        </w:rPr>
        <w:t>1 Thessaloniciens 4.8 (#2)</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