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2TH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Tesalonicenses 2:16 (#2)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"Ahora nuestro Señor Jesucristo mismo, y Dios nuestro Padre"</w:t>
      </w:r>
    </w:p>
    <w:p>
      <w:pPr/>
      <w:r>
        <w:rPr>
          <w:lang w:val="es_ES" w:bidi="es_ES"/>
        </w:rPr>
      </w:r>
      <w:r>
        <w:rPr>
          <w:lang w:val="es_ES" w:bidi="es_ES"/>
        </w:rPr>
        <w:t>Pablo termina esta sección con una bendición. Usa una forma que la gente reconozca como una bendición en tu idioma. Traducción alternativa: “Ahora que nuestro Señor Jesucristo mismo, y Dios nuestro Padre” o “Oramos para que nuestro Señor Jesucristo mismo, y Dios nuestro Padre”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Bendiciones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 Tesalonicenses 3:6 (#1)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En los versículos 6–15, Pablo da a los creyentes algunas instrucciones finales sobre trabajar y no ser ociosos. Un título para esta sección podría ser, “Los Creyentes Deben Trabajar.”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Encabezados de sección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