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3">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4">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4">
        <w:r>
          <w:rPr>
            <w:lang w:val="es_ES" w:bidi="es_ES"/>
          </w:rPr>
          <w:rPr>
            <w:color w:val="0000EE"/>
            <w:u w:val="single"/>
          </w:rPr>
          <w:t>1:4</w:t>
        </w:r>
      </w:hyperlink>
      <w:r>
        <w:rPr>
          <w:lang w:val="es_ES" w:bidi="es_ES"/>
        </w:rPr>
        <w:t xml:space="preserve"> y la expresión “los hijos de Judá” en </w:t>
      </w:r>
      <w:hyperlink r:id="rId15">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3">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16">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17">
        <w:r>
          <w:rPr>
            <w:lang w:val="es_ES" w:bidi="es_ES"/>
          </w:rPr>
          <w:rPr>
            <w:color w:val="0000EE"/>
            <w:u w:val="single"/>
          </w:rPr>
          <w:t>Números 14:24</w:t>
        </w:r>
      </w:hyperlink>
      <w:r>
        <w:rPr>
          <w:lang w:val="es_ES" w:bidi="es_ES"/>
        </w:rPr>
        <w:t xml:space="preserve"> y Josué había confirmado esto en </w:t>
      </w:r>
      <w:hyperlink r:id="rId18">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19">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0">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1">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2">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3">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4">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5">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26">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27">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28">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29">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0">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1">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29">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2">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3">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3">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3">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0">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35">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36">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4">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xml:space="preserve"> y </w:t>
      </w:r>
      <w:hyperlink r:id="rId37">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2">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38">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9">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9">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0">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0">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42">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2">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42">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2">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2">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43">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44">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45">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47">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48">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49">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50">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51">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2">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3">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54">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55">
        <w:r>
          <w:rPr>
            <w:lang w:val="es_ES" w:bidi="es_ES"/>
          </w:rPr>
          <w:rPr>
            <w:color w:val="0000EE"/>
            <w:u w:val="single"/>
          </w:rPr>
          <w:t>5:7</w:t>
        </w:r>
      </w:hyperlink>
      <w:r>
        <w:rPr>
          <w:lang w:val="es_ES" w:bidi="es_ES"/>
        </w:rPr>
        <w:t xml:space="preserve"> y probablemente lo hizo en </w:t>
      </w:r>
      <w:hyperlink r:id="rId56">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57">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58">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59">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54">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59">
        <w:r>
          <w:rPr>
            <w:lang w:val="es_ES" w:bidi="es_ES"/>
          </w:rPr>
          <w:rPr>
            <w:color w:val="0000EE"/>
            <w:u w:val="single"/>
          </w:rPr>
          <w:t>4:10</w:t>
        </w:r>
      </w:hyperlink>
      <w:r>
        <w:rPr>
          <w:lang w:val="es_ES" w:bidi="es_ES"/>
        </w:rPr>
        <w:t xml:space="preserve">, probablemente tocó un shofar (cuerno de carnero), al igual que Aod en </w:t>
      </w:r>
      <w:hyperlink r:id="rId60">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61">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62">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50">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63">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64">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0">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6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65">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66">
        <w:r>
          <w:rPr>
            <w:lang w:val="es_ES" w:bidi="es_ES"/>
          </w:rPr>
          <w:rPr>
            <w:color w:val="0000EE"/>
            <w:u w:val="single"/>
          </w:rPr>
          <w:t>20:1</w:t>
        </w:r>
      </w:hyperlink>
      <w:r>
        <w:rPr>
          <w:lang w:val="es_ES" w:bidi="es_ES"/>
        </w:rPr>
        <w:t xml:space="preserve">, </w:t>
      </w:r>
      <w:hyperlink r:id="rId67">
        <w:r>
          <w:rPr>
            <w:lang w:val="es_ES" w:bidi="es_ES"/>
          </w:rPr>
          <w:rPr>
            <w:color w:val="0000EE"/>
            <w:u w:val="single"/>
          </w:rPr>
          <w:t>20:8</w:t>
        </w:r>
      </w:hyperlink>
      <w:r>
        <w:rPr>
          <w:lang w:val="es_ES" w:bidi="es_ES"/>
        </w:rPr>
        <w:t xml:space="preserve">, </w:t>
      </w:r>
      <w:hyperlink r:id="rId68">
        <w:r>
          <w:rPr>
            <w:lang w:val="es_ES" w:bidi="es_ES"/>
          </w:rPr>
          <w:rPr>
            <w:color w:val="0000EE"/>
            <w:u w:val="single"/>
          </w:rPr>
          <w:t>20:11</w:t>
        </w:r>
      </w:hyperlink>
      <w:r>
        <w:rPr>
          <w:lang w:val="es_ES" w:bidi="es_ES"/>
        </w:rPr>
        <w:t xml:space="preserve"> y </w:t>
      </w:r>
      <w:hyperlink r:id="rId69">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70">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71">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72">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74">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2">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75">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76">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77">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54">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74">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78">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79">
        <w:r>
          <w:rPr>
            <w:lang w:val="es_ES" w:bidi="es_ES"/>
          </w:rPr>
          <w:rPr>
            <w:color w:val="0000EE"/>
            <w:u w:val="single"/>
          </w:rPr>
          <w:t>7:24</w:t>
        </w:r>
      </w:hyperlink>
      <w:r>
        <w:rPr>
          <w:lang w:val="es_ES" w:bidi="es_ES"/>
        </w:rPr>
        <w:t xml:space="preserve"> y que los eventos de </w:t>
      </w:r>
      <w:hyperlink r:id="rId80">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59">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64">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81">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82">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83">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84">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85">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86">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87">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3">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0">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0">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29">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88">
        <w:r>
          <w:rPr>
            <w:lang w:val="es_ES" w:bidi="es_ES"/>
          </w:rPr>
          <w:rPr>
            <w:color w:val="0000EE"/>
            <w:u w:val="single"/>
          </w:rPr>
          <w:t>6:32</w:t>
        </w:r>
      </w:hyperlink>
      <w:r>
        <w:rPr>
          <w:lang w:val="es_ES" w:bidi="es_ES"/>
        </w:rPr>
        <w:t xml:space="preserve"> y </w:t>
      </w:r>
      <w:hyperlink r:id="rId89">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90">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3">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91">
        <w:r>
          <w:rPr>
            <w:lang w:val="es_ES" w:bidi="es_ES"/>
          </w:rPr>
          <w:rPr>
            <w:color w:val="0000EE"/>
            <w:u w:val="single"/>
          </w:rPr>
          <w:t>9:4</w:t>
        </w:r>
      </w:hyperlink>
      <w:r>
        <w:rPr>
          <w:lang w:val="es_ES" w:bidi="es_ES"/>
        </w:rPr>
        <w:t xml:space="preserve"> y en la misma forma de Baal-berith (que significa "Dios del pacto") en </w:t>
      </w:r>
      <w:hyperlink r:id="rId92">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93">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92">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9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95">
        <w:r>
          <w:rPr>
            <w:lang w:val="es_ES" w:bidi="es_ES"/>
          </w:rPr>
          <w:rPr>
            <w:color w:val="0000EE"/>
            <w:u w:val="single"/>
          </w:rPr>
          <w:t>Deuteronomio 11:29</w:t>
        </w:r>
      </w:hyperlink>
      <w:r>
        <w:rPr>
          <w:lang w:val="es_ES" w:bidi="es_ES"/>
        </w:rPr>
        <w:t xml:space="preserve"> y </w:t>
      </w:r>
      <w:hyperlink r:id="rId9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9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0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0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0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0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0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0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0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05">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06">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07">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08">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91">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0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09">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10">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2">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46">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11">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54">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12">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13">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14">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13">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15">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0">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16">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11">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17">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18">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13">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19">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91">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20">
        <w:r>
          <w:rPr>
            <w:lang w:val="es_ES" w:bidi="es_ES"/>
          </w:rPr>
          <w:rPr>
            <w:color w:val="0000EE"/>
            <w:u w:val="single"/>
          </w:rPr>
          <w:t>8:33</w:t>
        </w:r>
      </w:hyperlink>
      <w:r>
        <w:rPr>
          <w:lang w:val="es_ES" w:bidi="es_ES"/>
        </w:rPr>
        <w:t xml:space="preserve"> y </w:t>
      </w:r>
      <w:hyperlink r:id="rId91">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21">
        <w:r>
          <w:rPr>
            <w:lang w:val="es_ES" w:bidi="es_ES"/>
          </w:rPr>
          <w:rPr>
            <w:color w:val="0000EE"/>
            <w:u w:val="single"/>
          </w:rPr>
          <w:t>1 Samuel 14:34</w:t>
        </w:r>
      </w:hyperlink>
      <w:r>
        <w:rPr>
          <w:lang w:val="es_ES" w:bidi="es_ES"/>
        </w:rPr>
        <w:t xml:space="preserve"> y </w:t>
      </w:r>
      <w:hyperlink r:id="rId122">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23">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23">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55">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36">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36">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24">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25">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26">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3">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2">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36">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27">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28">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29">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0">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31">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33">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83">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34">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35">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0">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36">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37">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38">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39">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40">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41">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62">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42">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43">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59">
        <w:r>
          <w:rPr>
            <w:lang w:val="es_ES" w:bidi="es_ES"/>
          </w:rPr>
          <w:rPr>
            <w:color w:val="0000EE"/>
            <w:u w:val="single"/>
          </w:rPr>
          <w:t>4:10</w:t>
        </w:r>
      </w:hyperlink>
      <w:r>
        <w:rPr>
          <w:lang w:val="es_ES" w:bidi="es_ES"/>
        </w:rPr>
        <w:t xml:space="preserve"> y Gedeón en </w:t>
      </w:r>
      <w:hyperlink r:id="rId144">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45">
        <w:r>
          <w:rPr>
            <w:lang w:val="es_ES" w:bidi="es_ES"/>
          </w:rPr>
          <w:rPr>
            <w:color w:val="0000EE"/>
            <w:u w:val="single"/>
          </w:rPr>
          <w:t>11:32</w:t>
        </w:r>
      </w:hyperlink>
      <w:r>
        <w:rPr>
          <w:lang w:val="es_ES" w:bidi="es_ES"/>
        </w:rPr>
        <w:t xml:space="preserve"> describe lo mismo que la última oración de </w:t>
      </w:r>
      <w:hyperlink r:id="rId146">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47">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48">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49">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50">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51">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36">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52">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41">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53">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54">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55">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70">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56">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57">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58">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70">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60">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61">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62">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63">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64">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65">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66">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68">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67">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70">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71">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5">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73">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74">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75">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176">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178">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179">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180">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181">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179">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182">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183">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184">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185">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186">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187">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188">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66">
        <w:r>
          <w:rPr>
            <w:lang w:val="es_ES" w:bidi="es_ES"/>
          </w:rPr>
          <w:rPr>
            <w:color w:val="0000EE"/>
            <w:u w:val="single"/>
          </w:rPr>
          <w:t>16:5</w:t>
        </w:r>
      </w:hyperlink>
      <w:r>
        <w:rPr>
          <w:lang w:val="es_ES" w:bidi="es_ES"/>
        </w:rPr>
        <w:t xml:space="preserve"> y </w:t>
      </w:r>
      <w:hyperlink r:id="rId189">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190">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27">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05">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27">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91">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27">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5">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92">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193">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9">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194">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54">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195">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50">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196">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3">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61">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2">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197">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198">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199">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200">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55">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56">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201">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202">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50">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203">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204">
        <w:r>
          <w:rPr>
            <w:lang w:val="es_ES" w:bidi="es_ES"/>
          </w:rPr>
          <w:rPr>
            <w:color w:val="0000EE"/>
            <w:u w:val="single"/>
          </w:rPr>
          <w:t>6:6</w:t>
        </w:r>
      </w:hyperlink>
      <w:r>
        <w:rPr>
          <w:lang w:val="es_ES" w:bidi="es_ES"/>
        </w:rPr>
        <w:t xml:space="preserve">, los madianitas habían reducido a los israelitas a la pobreza. En </w:t>
      </w:r>
      <w:hyperlink r:id="rId205">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76">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206">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207">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208">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206">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209">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210">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211">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212">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77">
        <w:r>
          <w:rPr>
            <w:lang w:val="es_ES" w:bidi="es_ES"/>
          </w:rPr>
          <w:rPr>
            <w:color w:val="0000EE"/>
            <w:u w:val="single"/>
          </w:rPr>
          <w:t>Jueces 17:6</w:t>
        </w:r>
      </w:hyperlink>
      <w:r>
        <w:rPr>
          <w:lang w:val="es_ES" w:bidi="es_ES"/>
        </w:rPr>
        <w:t xml:space="preserve"> y </w:t>
      </w:r>
      <w:hyperlink r:id="rId21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