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0">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01">
        <w:r>
          <w:rPr>
            <w:lang w:val="en_US" w:bidi="en_US"/>
          </w:rPr>
          <w:rPr>
            <w:color w:val="0000EE"/>
            <w:u w:val="single"/>
          </w:rPr>
          <w:t>7:5</w:t>
        </w:r>
      </w:hyperlink>
      <w:r>
        <w:rPr>
          <w:lang w:val="en_US" w:bidi="en_US"/>
        </w:rPr>
        <w:t>) was the first high priest under the law of Moses and the first to serve in the tabernacle. Azariah (</w:t>
      </w:r>
      <w:hyperlink r:id="rId102">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3">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0">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4">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6">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7">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8">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9">
        <w:r>
          <w:rPr>
            <w:lang w:val="en_US" w:bidi="en_US"/>
          </w:rPr>
          <w:rPr>
            <w:color w:val="0000EE"/>
            <w:u w:val="single"/>
          </w:rPr>
          <w:t>7:14–17</w:t>
        </w:r>
      </w:hyperlink>
      <w:r>
        <w:rPr>
          <w:lang w:val="en_US" w:bidi="en_US"/>
        </w:rPr>
        <w:t xml:space="preserve"> are one long sentence in Aramaic. The first part (</w:t>
      </w:r>
      <w:hyperlink r:id="rId110">
        <w:r>
          <w:rPr>
            <w:lang w:val="en_US" w:bidi="en_US"/>
          </w:rPr>
          <w:rPr>
            <w:color w:val="0000EE"/>
            <w:u w:val="single"/>
          </w:rPr>
          <w:t>7:14–16</w:t>
        </w:r>
      </w:hyperlink>
      <w:r>
        <w:rPr>
          <w:lang w:val="en_US" w:bidi="en_US"/>
        </w:rPr>
        <w:t xml:space="preserve">) provides the reasons for the second part (in </w:t>
      </w:r>
      <w:hyperlink r:id="rId111">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10">
        <w:r>
          <w:rPr>
            <w:lang w:val="en_US" w:bidi="en_US"/>
          </w:rPr>
          <w:rPr>
            <w:color w:val="0000EE"/>
            <w:u w:val="single"/>
          </w:rPr>
          <w:t>7:14–16</w:t>
        </w:r>
      </w:hyperlink>
      <w:r>
        <w:rPr>
          <w:lang w:val="en_US" w:bidi="en_US"/>
        </w:rPr>
        <w:t xml:space="preserve">) will provide the reasons for what the final two phrases say (in </w:t>
      </w:r>
      <w:hyperlink r:id="rId111">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2">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9">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3">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3">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4">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5">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9">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6">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7">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8">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8">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9">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3">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0">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2">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3">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4">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5">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6">
        <w:r>
          <w:rPr>
            <w:lang w:val="en_US" w:bidi="en_US"/>
          </w:rPr>
          <w:rPr>
            <w:color w:val="0000EE"/>
            <w:u w:val="single"/>
          </w:rPr>
          <w:t>8:2</w:t>
        </w:r>
      </w:hyperlink>
      <w:r>
        <w:rPr>
          <w:lang w:val="en_US" w:bidi="en_US"/>
        </w:rPr>
        <w:t xml:space="preserve"> and the beginning of </w:t>
      </w:r>
      <w:hyperlink r:id="rId127">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8">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9">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30">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31">
        <w:r>
          <w:rPr>
            <w:lang w:val="en_US" w:bidi="en_US"/>
          </w:rPr>
          <w:rPr>
            <w:color w:val="0000EE"/>
            <w:u w:val="single"/>
          </w:rPr>
          <w:t>8:21</w:t>
        </w:r>
      </w:hyperlink>
      <w:r>
        <w:rPr>
          <w:lang w:val="en_US" w:bidi="en_US"/>
        </w:rPr>
        <w:t xml:space="preserve"> and </w:t>
      </w:r>
      <w:hyperlink r:id="rId132">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3">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20">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30">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7">
        <w:r>
          <w:rPr>
            <w:lang w:val="en_US" w:bidi="en_US"/>
          </w:rPr>
          <w:rPr>
            <w:color w:val="0000EE"/>
            <w:u w:val="single"/>
          </w:rPr>
          <w:t>8:3</w:t>
        </w:r>
      </w:hyperlink>
      <w:r>
        <w:rPr>
          <w:lang w:val="en_US" w:bidi="en_US"/>
        </w:rPr>
        <w:t xml:space="preserve"> or the one named in </w:t>
      </w:r>
      <w:hyperlink r:id="rId134">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5">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5">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7">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9">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40">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41">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8">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5">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2">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3">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40">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6">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6">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41">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5">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6">
        <w:r>
          <w:rPr>
            <w:lang w:val="en_US" w:bidi="en_US"/>
          </w:rPr>
          <w:rPr>
            <w:color w:val="0000EE"/>
            <w:u w:val="single"/>
          </w:rPr>
          <w:t>9:10</w:t>
        </w:r>
      </w:hyperlink>
      <w:r>
        <w:rPr>
          <w:lang w:val="en_US" w:bidi="en_US"/>
        </w:rPr>
        <w:t xml:space="preserve"> and </w:t>
      </w:r>
      <w:hyperlink r:id="rId147">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9">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50">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51">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5">
        <w:r>
          <w:rPr>
            <w:lang w:val="en_US" w:bidi="en_US"/>
          </w:rPr>
          <w:rPr>
            <w:color w:val="0000EE"/>
            <w:u w:val="single"/>
          </w:rPr>
          <w:t>9:1</w:t>
        </w:r>
      </w:hyperlink>
      <w:r>
        <w:rPr>
          <w:lang w:val="en_US" w:bidi="en_US"/>
        </w:rPr>
        <w:t xml:space="preserve"> and </w:t>
      </w:r>
      <w:hyperlink r:id="rId148">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2">
        <w:r>
          <w:rPr>
            <w:lang w:val="en_US" w:bidi="en_US"/>
          </w:rPr>
          <w:rPr>
            <w:color w:val="0000EE"/>
            <w:u w:val="single"/>
          </w:rPr>
          <w:t>9:6</w:t>
        </w:r>
      </w:hyperlink>
      <w:r>
        <w:rPr>
          <w:lang w:val="en_US" w:bidi="en_US"/>
        </w:rPr>
        <w:t xml:space="preserve"> and in </w:t>
      </w:r>
      <w:hyperlink r:id="rId153">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and </w:t>
      </w:r>
      <w:hyperlink r:id="rId120">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4">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5">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5">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6">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7">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6">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xml:space="preserve"> and </w:t>
      </w:r>
      <w:hyperlink r:id="rId147">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2">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2">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and </w:t>
      </w:r>
      <w:hyperlink r:id="rId157">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7">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8">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9">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40">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60">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61">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2">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3">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3">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4">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5">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5">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