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 2:7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"en la casa"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"Aquí, </w:t>
      </w:r>
      <w:r>
        <w:rPr>
          <w:b/>
          <w:lang w:val="es_ES" w:bidi="es_ES"/>
        </w:rPr>
        <w:t>la casa</w:t>
      </w:r>
      <w:r>
        <w:rPr>
          <w:lang w:val="es_ES" w:bidi="es_ES"/>
        </w:rPr>
        <w:t xml:space="preserve"> era un refugio temporal o cabaña de jardín en el campo que proporcionaba sombra del sol donde los trabajadores podían descansar. Traducción alternativa: ""en la cabaña"" o ""en el cobertizo"" Ver: </w:t>
      </w:r>
      <w:r>
        <w:rPr>
          <w:lang w:val="es_ES" w:bidi="es_ES"/>
        </w:rPr>
        <w:t>Traduzir elementos desconhecidos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