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Haggai</w:t>
      </w:r>
      <w:r>
        <w:rPr>
          <w:lang w:val="en_US" w:bidi="en_US"/>
        </w:rPr>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r>
        <w:rPr>
          <w:lang w:val="en_US" w:bidi="en_US"/>
        </w:rPr>
      </w:r>
      <w:r>
        <w:rPr>
          <w:lang w:val="en_US" w:bidi="en_US"/>
        </w:rPr>
      </w:r>
    </w:p>
    <w:p>
      <w:pPr>
        <w:pStyle w:val="ListBullet"/>
        <w:spacing w:line="240" w:lineRule="auto"/>
        <w:ind w:left="720"/>
      </w:pPr>
      <w:r>
        <w:rPr>
          <w:lang w:val="en_US" w:bidi="en_US"/>
        </w:rPr>
      </w:r>
      <w:r>
        <w:rPr>
          <w:lang w:val="en_US" w:bidi="en_US"/>
        </w:rPr>
        <w:t>First oracle (1:1–15a): The people must finish the temple so that Yahweh will bless them again</w:t>
      </w:r>
      <w:r>
        <w:rPr>
          <w:lang w:val="en_US" w:bidi="en_US"/>
        </w:rPr>
      </w:r>
    </w:p>
    <w:p>
      <w:pPr>
        <w:pStyle w:val="ListBullet"/>
        <w:spacing w:line="240" w:lineRule="auto"/>
        <w:ind w:left="720"/>
      </w:pPr>
      <w:r>
        <w:rPr>
          <w:lang w:val="en_US" w:bidi="en_US"/>
        </w:rPr>
      </w:r>
      <w:r>
        <w:rPr>
          <w:lang w:val="en_US" w:bidi="en_US"/>
        </w:rPr>
        <w:t>Second oracle (1:15b–2:9): The rebuilt temple will be more glorious than the first temple</w:t>
      </w:r>
      <w:r>
        <w:rPr>
          <w:lang w:val="en_US" w:bidi="en_US"/>
        </w:rPr>
      </w:r>
    </w:p>
    <w:p>
      <w:pPr>
        <w:pStyle w:val="ListBullet"/>
        <w:spacing w:line="240" w:lineRule="auto"/>
        <w:ind w:left="720"/>
      </w:pPr>
      <w:r>
        <w:rPr>
          <w:lang w:val="en_US" w:bidi="en_US"/>
        </w:rPr>
      </w:r>
      <w:r>
        <w:rPr>
          <w:lang w:val="en_US" w:bidi="en_US"/>
        </w:rPr>
        <w:t>Third oracle (2:10–19): Yahweh has withheld crops, but now he will bless the people</w:t>
      </w:r>
      <w:r>
        <w:rPr>
          <w:lang w:val="en_US" w:bidi="en_US"/>
        </w:rPr>
      </w:r>
    </w:p>
    <w:p>
      <w:pPr>
        <w:pStyle w:val="ListBullet"/>
        <w:spacing w:line="240" w:lineRule="auto"/>
        <w:ind w:left="720"/>
      </w:pPr>
      <w:r>
        <w:rPr>
          <w:lang w:val="en_US" w:bidi="en_US"/>
        </w:rPr>
      </w:r>
      <w:r>
        <w:rPr>
          <w:lang w:val="en_US" w:bidi="en_US"/>
        </w:rPr>
        <w:t>Fourth oracle (2:20–23): Yahweh will defeat the nations and establish Zerubbabel as his honored ruler</w:t>
      </w:r>
      <w:r>
        <w:rPr>
          <w:lang w:val="en_US" w:bidi="en_US"/>
        </w:rPr>
      </w:r>
      <w:r>
        <w:rPr>
          <w:lang w:val="en_US" w:bidi="en_US"/>
        </w:rPr>
      </w:r>
    </w:p>
    <w:p>
      <w:pPr>
        <w:pStyle w:val="Heading4"/>
      </w:pPr>
      <w:r>
        <w:rPr>
          <w:lang w:val="en_US" w:bidi="en_US"/>
        </w:rPr>
        <w:t>What is Haggai about?</w:t>
      </w:r>
      <w:r>
        <w:rPr>
          <w:lang w:val="en_US" w:bidi="en_US"/>
        </w:rPr>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r>
        <w:rPr>
          <w:lang w:val="en_US" w:bidi="en_US"/>
        </w:rPr>
      </w:r>
    </w:p>
    <w:p>
      <w:pPr>
        <w:pStyle w:val="Heading4"/>
      </w:pPr>
      <w:r>
        <w:rPr>
          <w:lang w:val="en_US" w:bidi="en_US"/>
        </w:rPr>
        <w:t>Who was the prophet Haggai?</w:t>
      </w:r>
      <w:r>
        <w:rPr>
          <w:lang w:val="en_US" w:bidi="en_US"/>
        </w:rPr>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r>
        <w:rPr>
          <w:lang w:val="en_US" w:bidi="en_US"/>
        </w:rPr>
      </w:r>
    </w:p>
    <w:p>
      <w:pPr>
        <w:pStyle w:val="Heading3"/>
      </w:pPr>
      <w:r>
        <w:rPr>
          <w:lang w:val="en_US" w:bidi="en_US"/>
        </w:rPr>
        <w:t>Part 2: Important Translation Issues</w:t>
      </w:r>
      <w:r>
        <w:rPr>
          <w:lang w:val="en_US" w:bidi="en_US"/>
        </w:rPr>
      </w:r>
    </w:p>
    <w:p>
      <w:pPr>
        <w:pStyle w:val="Heading4"/>
      </w:pPr>
      <w:r>
        <w:rPr>
          <w:lang w:val="en_US" w:bidi="en_US"/>
        </w:rPr>
        <w:t>Hebrew months</w:t>
      </w:r>
      <w:r>
        <w:rPr>
          <w:lang w:val="en_US" w:bidi="en_US"/>
        </w:rPr>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r>
        <w:rPr>
          <w:lang w:val="en_US" w:bidi="en_US"/>
        </w:rPr>
      </w:r>
    </w:p>
    <w:p>
      <w:pPr>
        <w:pStyle w:val="Heading4"/>
      </w:pPr>
      <w:r>
        <w:rPr>
          <w:lang w:val="en_US" w:bidi="en_US"/>
        </w:rPr>
        <w:t>Quote marks</w:t>
      </w:r>
      <w:r>
        <w:rPr>
          <w:lang w:val="en_US" w:bidi="en_US"/>
        </w:rPr>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r>
        <w:rPr>
          <w:lang w:val="en_US" w:bidi="en_US"/>
        </w:rPr>
      </w:r>
    </w:p>
    <w:p>
      <w:pPr>
        <w:pStyle w:val="Heading4"/>
      </w:pPr>
      <w:r>
        <w:rPr>
          <w:lang w:val="en_US" w:bidi="en_US"/>
        </w:rPr>
        <w:t>“The declaration of Yahweh”</w:t>
      </w:r>
      <w:r>
        <w:rPr>
          <w:lang w:val="en_US" w:bidi="en_US"/>
        </w:rPr>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r>
        <w:rPr>
          <w:lang w:val="en_US" w:bidi="en_US"/>
        </w:rPr>
      </w:r>
    </w:p>
    <w:p>
      <w:pPr>
        <w:pStyle w:val="Heading4"/>
      </w:pPr>
      <w:r>
        <w:rPr>
          <w:lang w:val="en_US" w:bidi="en_US"/>
        </w:rPr>
        <w:t>The date formula of the second oracle</w:t>
      </w:r>
      <w:r>
        <w:rPr>
          <w:lang w:val="en_US" w:bidi="en_US"/>
        </w:rPr>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first oracle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 &amp; 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See how you translated this in 1:1.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 &amp; in your &amp; houses"</w:t>
      </w:r>
    </w:p>
    <w:p>
      <w:pPr/>
      <w:r>
        <w:rPr>
          <w:lang w:val="en_US" w:bidi="en_US"/>
        </w:rPr>
      </w:r>
      <w:r>
        <w:rPr>
          <w:lang w:val="en_US" w:bidi="en_US"/>
        </w:rPr>
        <w:t xml:space="preserve">As the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See how you translated this in 1:5.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In the introduction to this chapter, see the discussion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 and I will take pleasure in it, and I will be glorified,’ says Yahweh"</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 And you brought {it} home, but I blew upon it! Because of what?’—the declaration of Yahweh of Armies. ‘Because of my house, that it {is} desolate, but you are running, a man to his house"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 &amp; 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 &amp; refrain from dew and the earth withholds its produce"</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 and upon the oil"</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 “And I have called for desolation upon the land and upon the mountains and upon the grain and upon the new wine …”</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second (2:1–9), third (2:10–19), and fourth (2:20–23) oracles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6–7 and 21–22.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teaching example of uncleanness (verses 12–14)</w:t>
      </w:r>
      <w:r>
        <w:rPr>
          <w:lang w:val="en_US" w:bidi="en_US"/>
        </w:rPr>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See how you translated this same statement in 1:1.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Yahweh is using this expression to refer to the Judeans who have returned from exile. The phrase means the same thing as the term “remnant” in 1:12 and 1:14.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See, for example, Exodus 29:45–46,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 and I {will be} shaking"</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 xml:space="preserve"> 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 and the sea and the dry land"</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 and I {will be} shaking the heavens and the earth and the sea and the dry land"</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 and they will come {with} the treasure of all of the nations, and I will fill this house {with} glory,’ says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See how you translated the similar statement in 1:1.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Leviticus 6:27),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Haggai and the priests share the knowledge that if an Israelite touches a dead body, something that is ritually unclean, then that Israelite becomes ritually unclean himself for a certain period of time (see Numbers 19:13).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Haggai implicitly means an altar that the returned exiles had set up at the temple site. This is described in Ezra 3:1–6.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See how you translated this expression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See how you translated the similar expression in 2:14.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2:15, the word </w:t>
      </w:r>
      <w:r>
        <w:rPr>
          <w:b/>
          <w:lang w:val="en_US" w:bidi="en_US"/>
        </w:rPr>
        <w:t>before</w:t>
      </w:r>
      <w:r>
        <w:rPr>
          <w:lang w:val="en_US" w:bidi="en_US"/>
        </w:rPr>
        <w:t xml:space="preserve"> refers back in time to the whole period after the Judeans returned from exile. The </w:t>
      </w:r>
      <w:r>
        <w:rPr>
          <w:b/>
          <w:lang w:val="en_US" w:bidi="en_US"/>
        </w:rPr>
        <w:t>twenty-fourth day of the ninth month</w:t>
      </w:r>
      <w:r>
        <w:rPr>
          <w:lang w:val="en_US" w:bidi="en_US"/>
        </w:rPr>
        <w:t xml:space="preserve"> means that date in the second year of Darius, as 2:10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If your language does not use ordinal numbers, you could use cardinal numbers here. See what you did in 2:10.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See how you translated the similar phrase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See how you translated this phrase in 1:5.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See how you translated the name of the Hebrew month in 2:10.</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See how you translated the similar phrase in 2:10.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to represent all of creation. See how you translated the similar expression in 2:6.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 ‘I {am} shaking the heavens and the earth"</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See how you translated the similar expression in 2:6.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 and the horses and their riders will fall"</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 &amp; 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See how you translated the similar use of the phrase “a man” in 1:9.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 &amp; and I will make you &amp; 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