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 - Introdução, 1 João - Introdução ao capítulo 1, 1 João - Introdução ao capítulo 2, 1 João - Introdução ao capítulo 3, 1 João - Introdução ao capítulo 4, 1 João - Introdução ao capítulo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hyperlink r:id="rId13">
        <w:r>
          <w:rPr>
            <w:lang w:val="pt_PT" w:bidi="pt_PT"/>
          </w:rPr>
          <w:rPr>
            <w:color w:val="0000EE"/>
            <w:u w:val="single"/>
          </w:rPr>
          <w:t>2.6</w:t>
        </w:r>
      </w:hyperlink>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4">
        <w:r>
          <w:rPr>
            <w:lang w:val="pt_PT" w:bidi="pt_PT"/>
          </w:rPr>
          <w:rPr>
            <w:color w:val="0000EE"/>
            <w:u w:val="single"/>
          </w:rPr>
          <w:t>2.14</w:t>
        </w:r>
      </w:hyperlink>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5">
        <w:r>
          <w:rPr>
            <w:lang w:val="pt_PT" w:bidi="pt_PT"/>
          </w:rPr>
          <w:rPr>
            <w:color w:val="0000EE"/>
            <w:u w:val="single"/>
          </w:rPr>
          <w:t>5.10</w:t>
        </w:r>
      </w:hyperlink>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hyperlink r:id="rId16">
        <w:r>
          <w:rPr>
            <w:lang w:val="pt_PT" w:bidi="pt_PT"/>
          </w:rPr>
          <w:rPr>
            <w:color w:val="0000EE"/>
            <w:u w:val="single"/>
          </w:rPr>
          <w:t>1.2</w:t>
        </w:r>
      </w:hyperlink>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hyperlink r:id="rId17">
        <w:r>
          <w:rPr>
            <w:lang w:val="pt_PT" w:bidi="pt_PT"/>
          </w:rPr>
          <w:rPr>
            <w:color w:val="0000EE"/>
            <w:u w:val="single"/>
          </w:rPr>
          <w:t>1.1</w:t>
        </w:r>
      </w:hyperlink>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hyperlink r:id="rId17">
        <w:r>
          <w:rPr>
            <w:lang w:val="pt_PT" w:bidi="pt_PT"/>
          </w:rPr>
          <w:rPr>
            <w:color w:val="0000EE"/>
            <w:u w:val="single"/>
          </w:rPr>
          <w:t>1.1</w:t>
        </w:r>
      </w:hyperlink>
      <w:r>
        <w:rPr>
          <w:lang w:val="pt_PT" w:bidi="pt_PT"/>
        </w:rPr>
        <w:t xml:space="preserve"> até o meio de </w:t>
      </w:r>
      <w:hyperlink r:id="rId18">
        <w:r>
          <w:rPr>
            <w:lang w:val="pt_PT" w:bidi="pt_PT"/>
          </w:rPr>
          <w:rPr>
            <w:color w:val="0000EE"/>
            <w:u w:val="single"/>
          </w:rPr>
          <w:t>1.3</w:t>
        </w:r>
      </w:hyperlink>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7">
        <w:r>
          <w:rPr>
            <w:lang w:val="pt_PT" w:bidi="pt_PT"/>
          </w:rPr>
          <w:rPr>
            <w:color w:val="0000EE"/>
            <w:u w:val="single"/>
          </w:rPr>
          <w:t>1.1</w:t>
        </w:r>
      </w:hyperlink>
      <w:r>
        <w:rPr>
          <w:lang w:val="pt_PT" w:bidi="pt_PT"/>
        </w:rPr>
        <w:t xml:space="preserve"> e apresentá-la como uma introdução temática à carta. Caso contrário, seus leitores podem não perceber que se trata de uma carta até chegarem a </w:t>
      </w:r>
      <w:hyperlink r:id="rId19">
        <w:r>
          <w:rPr>
            <w:lang w:val="pt_PT" w:bidi="pt_PT"/>
          </w:rPr>
          <w:rPr>
            <w:color w:val="0000EE"/>
            <w:u w:val="single"/>
          </w:rPr>
          <w:t>1.4</w:t>
        </w:r>
      </w:hyperlink>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hyperlink r:id="rId20">
        <w:r>
          <w:rPr>
            <w:lang w:val="pt_PT" w:bidi="pt_PT"/>
          </w:rPr>
          <w:rPr>
            <w:color w:val="0000EE"/>
            <w:u w:val="single"/>
          </w:rPr>
          <w:t>1.1–4</w:t>
        </w:r>
      </w:hyperlink>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19">
        <w:r>
          <w:rPr>
            <w:lang w:val="pt_PT" w:bidi="pt_PT"/>
          </w:rPr>
          <w:rPr>
            <w:color w:val="0000EE"/>
            <w:u w:val="single"/>
          </w:rPr>
          <w:t>1.4</w:t>
        </w:r>
      </w:hyperlink>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hyperlink r:id="rId21">
        <w:r>
          <w:rPr>
            <w:lang w:val="pt_PT" w:bidi="pt_PT"/>
          </w:rPr>
          <w:rPr>
            <w:color w:val="0000EE"/>
            <w:u w:val="single"/>
          </w:rPr>
          <w:t>2.12–14</w:t>
        </w:r>
      </w:hyperlink>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hyperlink r:id="rId22">
        <w:r>
          <w:rPr>
            <w:lang w:val="pt_PT" w:bidi="pt_PT"/>
          </w:rPr>
          <w:rPr>
            <w:color w:val="0000EE"/>
            <w:u w:val="single"/>
          </w:rPr>
          <w:t>2.18</w:t>
        </w:r>
      </w:hyperlink>
      <w:r>
        <w:rPr>
          <w:lang w:val="pt_PT" w:bidi="pt_PT"/>
        </w:rPr>
        <w:t xml:space="preserve"> e </w:t>
      </w:r>
      <w:hyperlink r:id="rId23">
        <w:r>
          <w:rPr>
            <w:lang w:val="pt_PT" w:bidi="pt_PT"/>
          </w:rPr>
          <w:rPr>
            <w:color w:val="0000EE"/>
            <w:u w:val="single"/>
          </w:rPr>
          <w:t>2.22</w:t>
        </w:r>
      </w:hyperlink>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4">
        <w:r>
          <w:rPr>
            <w:lang w:val="pt_PT" w:bidi="pt_PT"/>
          </w:rPr>
          <w:rPr>
            <w:color w:val="0000EE"/>
            <w:u w:val="single"/>
          </w:rPr>
          <w:t>2.20</w:t>
        </w:r>
      </w:hyperlink>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hyperlink r:id="rId25">
        <w:r>
          <w:rPr>
            <w:lang w:val="pt_PT" w:bidi="pt_PT"/>
          </w:rPr>
          <w:rPr>
            <w:color w:val="0000EE"/>
            <w:u w:val="single"/>
          </w:rPr>
          <w:t>3.32</w:t>
        </w:r>
      </w:hyperlink>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hyperlink r:id="rId26">
        <w:r>
          <w:rPr>
            <w:lang w:val="pt_PT" w:bidi="pt_PT"/>
          </w:rPr>
          <w:rPr>
            <w:color w:val="0000EE"/>
            <w:u w:val="single"/>
          </w:rPr>
          <w:t>3.1</w:t>
        </w:r>
      </w:hyperlink>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27">
        <w:r>
          <w:rPr>
            <w:lang w:val="pt_PT" w:bidi="pt_PT"/>
          </w:rPr>
          <w:rPr>
            <w:color w:val="0000EE"/>
            <w:u w:val="single"/>
          </w:rPr>
          <w:t>4.3</w:t>
        </w:r>
      </w:hyperlink>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Não está totalmente claro o que João quer dizer com esta frase. A palavra “morte” pode se referir tanto à morte física quanto à morte espiritual, que é a separação eterna de Deus. Veja a discussão adicional nas notas de </w:t>
      </w:r>
      <w:hyperlink r:id="rId28">
        <w:r>
          <w:rPr>
            <w:lang w:val="pt_PT" w:bidi="pt_PT"/>
          </w:rPr>
          <w:rPr>
            <w:color w:val="0000EE"/>
            <w:u w:val="single"/>
          </w:rPr>
          <w:t>5.16</w:t>
        </w:r>
      </w:hyperlink>
      <w:r>
        <w:rPr>
          <w:lang w:val="pt_PT" w:bidi="pt_PT"/>
        </w:rPr>
        <w:t xml:space="preserve">. (Veja: </w:t>
      </w:r>
      <w:r>
        <w:rPr>
          <w:lang w:val="pt_PT" w:bidi="pt_PT"/>
        </w:rPr>
        <w:t>morte</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hyperlink r:id="rId29">
        <w:r>
          <w:rPr>
            <w:lang w:val="pt_PT" w:bidi="pt_PT"/>
          </w:rPr>
          <w:rPr>
            <w:color w:val="0000EE"/>
            <w:u w:val="single"/>
          </w:rPr>
          <w:t>5.7–8</w:t>
        </w:r>
      </w:hyperlink>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hyperlink r:id="rId30">
        <w:r>
          <w:rPr>
            <w:lang w:val="pt_PT" w:bidi="pt_PT"/>
          </w:rPr>
          <w:rPr>
            <w:color w:val="0000EE"/>
            <w:u w:val="single"/>
          </w:rPr>
          <w:t>5.18</w:t>
        </w:r>
      </w:hyperlink>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1John5:10" TargetMode="External"/><Relationship Id="rId16" Type="http://schemas.openxmlformats.org/officeDocument/2006/relationships/hyperlink" Target="https://ref.ly/1John1:2" TargetMode="External"/><Relationship Id="rId17" Type="http://schemas.openxmlformats.org/officeDocument/2006/relationships/hyperlink" Target="https://ref.ly/1John1:1" TargetMode="External"/><Relationship Id="rId18" Type="http://schemas.openxmlformats.org/officeDocument/2006/relationships/hyperlink" Target="https://ref.ly/1John1:3" TargetMode="External"/><Relationship Id="rId19" Type="http://schemas.openxmlformats.org/officeDocument/2006/relationships/hyperlink" Target="https://ref.ly/1John1:4" TargetMode="External"/><Relationship Id="rId20" Type="http://schemas.openxmlformats.org/officeDocument/2006/relationships/hyperlink" Target="https://ref.ly/1John1:1-1John1:4" TargetMode="External"/><Relationship Id="rId21" Type="http://schemas.openxmlformats.org/officeDocument/2006/relationships/hyperlink" Target="https://ref.ly/1John2:12-1John2:14" TargetMode="External"/><Relationship Id="rId22" Type="http://schemas.openxmlformats.org/officeDocument/2006/relationships/hyperlink" Target="https://ref.ly/1John2:18" TargetMode="External"/><Relationship Id="rId23" Type="http://schemas.openxmlformats.org/officeDocument/2006/relationships/hyperlink" Target="https://ref.ly/1John2:22" TargetMode="External"/><Relationship Id="rId24" Type="http://schemas.openxmlformats.org/officeDocument/2006/relationships/hyperlink" Target="https://ref.ly/1John2:20" TargetMode="External"/><Relationship Id="rId25" Type="http://schemas.openxmlformats.org/officeDocument/2006/relationships/hyperlink" Target="https://ref.ly/1John3:32" TargetMode="External"/><Relationship Id="rId26" Type="http://schemas.openxmlformats.org/officeDocument/2006/relationships/hyperlink" Target="https://ref.ly/1John3:1" TargetMode="External"/><Relationship Id="rId27" Type="http://schemas.openxmlformats.org/officeDocument/2006/relationships/hyperlink" Target="https://ref.ly/1John4:3" TargetMode="External"/><Relationship Id="rId28" Type="http://schemas.openxmlformats.org/officeDocument/2006/relationships/hyperlink" Target="https://ref.ly/1John5:16" TargetMode="External"/><Relationship Id="rId29" Type="http://schemas.openxmlformats.org/officeDocument/2006/relationships/hyperlink" Target="https://ref.ly/1John5:7-1John5:8" TargetMode="External"/><Relationship Id="rId30"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