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godly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p>
    <w:p>
      <w:pPr>
        <w:pStyle w:val="ListNumbe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p>
    <w:p>
      <w:pPr>
        <w:pStyle w:val="ListNumbe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4"/>
      </w:pPr>
      <w:r>
        <w:rPr>
          <w:lang w:val="en_US" w:bidi="en_US"/>
        </w:rPr>
        <w:t>Who wrote the book of 2 Peter?</w:t>
      </w:r>
      <w:r>
        <w:rPr>
          <w:lang w:val="en_US" w:bidi="en_US"/>
        </w:rPr>
      </w:r>
    </w:p>
    <w:p>
      <w:pPr/>
      <w:r>
        <w:rPr>
          <w:lang w:val="en_US" w:bidi="en_US"/>
        </w:rPr>
      </w:r>
      <w:r>
        <w:rPr>
          <w:lang w:val="en_US" w:bidi="en_US"/>
        </w:rPr>
        <w:t>The author identified himself as Simon Peter. Simon Peter was an apostle. He also wrote the book of 1 Peter. Peter probably wrote this letter while in a prison in Rome, just before he died. Peter called this letter his second letter, so we can date it after 1 Peter. He addressed the letter to the same audience as his first letter. The audience probably was Christians scattered throughout Asia Minor.</w:t>
      </w:r>
      <w:r>
        <w:rPr>
          <w:lang w:val="en_US" w:bidi="en_US"/>
        </w:rPr>
      </w:r>
    </w:p>
    <w:p>
      <w:pPr>
        <w:pStyle w:val="Heading4"/>
      </w:pPr>
      <w:r>
        <w:rPr>
          <w:lang w:val="en_US" w:bidi="en_US"/>
        </w:rPr>
        <w:t>What is the book of 2 Peter about?</w:t>
      </w:r>
      <w:r>
        <w:rPr>
          <w:lang w:val="en_US" w:bidi="en_US"/>
        </w:rPr>
      </w:r>
    </w:p>
    <w:p>
      <w:pPr/>
      <w:r>
        <w:rPr>
          <w:lang w:val="en_US" w:bidi="en_US"/>
        </w:rPr>
      </w:r>
      <w:r>
        <w:rPr>
          <w:lang w:val="en_US" w:bidi="en_US"/>
        </w:rPr>
        <w:t>Peter wrote this letter to encourage believers to live good lives. He warned them about false teachers who were saying Jesus was taking too long to return. He told them that Jesus was not slow in returning. Instead, God was giving people time to repent so that they would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Peter” or “Second Peter.” Or they may choose a clearer title, such as “The Second Letter from Peter” or “The Second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Peter spoke against?</w:t>
      </w:r>
      <w:r>
        <w:rPr>
          <w:lang w:val="en_US" w:bidi="en_US"/>
        </w:rPr>
      </w:r>
    </w:p>
    <w:p>
      <w:pPr/>
      <w:r>
        <w:rPr>
          <w:lang w:val="en_US" w:bidi="en_US"/>
        </w:rPr>
      </w:r>
      <w:r>
        <w:rPr>
          <w:lang w:val="en_US" w:bidi="en_US"/>
        </w:rPr>
        <w:t>It is possible that the people Peter spoke against were those who would become known as Gnostics. These teachers distorted the teachings of Scripture for their own gain. They lived in immoral ways and taught others to do the same.</w:t>
      </w:r>
      <w:r>
        <w:rPr>
          <w:lang w:val="en_US" w:bidi="en_US"/>
        </w:rPr>
      </w:r>
    </w:p>
    <w:p>
      <w:pPr>
        <w:pStyle w:val="Heading4"/>
      </w:pPr>
      <w:r>
        <w:rPr>
          <w:lang w:val="en_US" w:bidi="en_US"/>
        </w:rPr>
        <w:t>What does it mean that God inspired Scripture?</w:t>
      </w:r>
      <w:r>
        <w:rPr>
          <w:lang w:val="en_US" w:bidi="en_US"/>
        </w:rPr>
      </w:r>
    </w:p>
    <w:p>
      <w:pPr/>
      <w:r>
        <w:rPr>
          <w:lang w:val="en_US" w:bidi="en_US"/>
        </w:rPr>
      </w:r>
      <w:r>
        <w:rPr>
          <w:lang w:val="en_US" w:bidi="en_US"/>
        </w:rPr>
        <w:t>The doctrine of Scripture is a very important one. 2 Peter helps readers to understand that while each writer of Scripture had his own distinct way of writing, God is the true author of Scripture (1:20–21).</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Also, the word “you” is always plural and refers to Peter’s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“to be kept in chains of lower darkness until the judgment” (2:4). Some ancient manuscripts have, “to be kept in pits of lower darkness until the judgment.”</w:t>
      </w:r>
      <w:r>
        <w:rPr>
          <w:lang w:val="en_US" w:bidi="en_US"/>
        </w:rPr>
      </w:r>
    </w:p>
    <w:p>
      <w:pPr>
        <w:pStyle w:val="ListBullet"/>
        <w:spacing w:line="240" w:lineRule="auto"/>
        <w:ind w:left="720"/>
      </w:pPr>
      <w:r>
        <w:rPr>
          <w:lang w:val="en_US" w:bidi="en_US"/>
        </w:rPr>
      </w:r>
      <w:r>
        <w:rPr>
          <w:lang w:val="en_US" w:bidi="en_US"/>
        </w:rPr>
        <w:t>“They enjoy their deceitful actions while they are feasting with you” (2:13). Some manuscripts have, “They enjoy their actions while they are feasting with you in love feasts.”</w:t>
      </w:r>
      <w:r>
        <w:rPr>
          <w:lang w:val="en_US" w:bidi="en_US"/>
        </w:rPr>
      </w:r>
    </w:p>
    <w:p>
      <w:pPr>
        <w:pStyle w:val="ListBullet"/>
        <w:spacing w:line="240" w:lineRule="auto"/>
        <w:ind w:left="720"/>
      </w:pPr>
      <w:r>
        <w:rPr>
          <w:lang w:val="en_US" w:bidi="en_US"/>
        </w:rPr>
      </w:r>
      <w:r>
        <w:rPr>
          <w:lang w:val="en_US" w:bidi="en_US"/>
        </w:rPr>
        <w:t>“Bosor” (2:15). A few other manuscripts read, “Beor.”</w:t>
      </w:r>
      <w:r>
        <w:rPr>
          <w:lang w:val="en_US" w:bidi="en_US"/>
        </w:rPr>
      </w:r>
    </w:p>
    <w:p>
      <w:pPr>
        <w:pStyle w:val="ListBullet"/>
        <w:spacing w:line="240" w:lineRule="auto"/>
        <w:ind w:left="720"/>
      </w:pPr>
      <w:r>
        <w:rPr>
          <w:lang w:val="en_US" w:bidi="en_US"/>
        </w:rPr>
      </w:r>
      <w:r>
        <w:rPr>
          <w:lang w:val="en_US" w:bidi="en_US"/>
        </w:rPr>
        <w:t>“The elements will be burned with fire, and the earth and the deeds in it will be revealed” (3:10). Other manuscripts have, “The elements will be burned with fire, and the earth and the deeds in it will be burned up.”</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good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Knowledge of God</w:t>
      </w:r>
      <w:r>
        <w:rPr>
          <w:lang w:val="en_US" w:bidi="en_US"/>
        </w:rPr>
      </w:r>
    </w:p>
    <w:p>
      <w:pPr/>
      <w:r>
        <w:rPr>
          <w:lang w:val="en_US" w:bidi="en_US"/>
        </w:rPr>
      </w:r>
      <w:r>
        <w:rPr>
          <w:lang w:val="en_US" w:bidi="en_US"/>
        </w:rPr>
        <w:t xml:space="preserve">Having experiential knowledge of God means to belong to him or to have a relationship with him. Here, “knowledge” is more than just mentally knowing about God. It is the knowledge of personal relationship in which God saves a person and gives him grace and peace. (See: </w:t>
      </w:r>
      <w:r>
        <w:rPr>
          <w:lang w:val="en_US" w:bidi="en_US"/>
        </w:rPr>
        <w:t>know, knew, knowledge, known, unknown, distinguish</w:t>
      </w:r>
      <w:r>
        <w:rPr>
          <w:lang w:val="en_US" w:bidi="en_US"/>
        </w:rPr>
        <w:t>)</w:t>
      </w:r>
      <w:r>
        <w:rPr>
          <w:lang w:val="en_US" w:bidi="en_US"/>
        </w:rPr>
      </w:r>
    </w:p>
    <w:p>
      <w:pPr>
        <w:pStyle w:val="Heading4"/>
      </w:pPr>
      <w:r>
        <w:rPr>
          <w:lang w:val="en_US" w:bidi="en_US"/>
        </w:rPr>
        <w:t>Living godly lives</w:t>
      </w:r>
      <w:r>
        <w:rPr>
          <w:lang w:val="en_US" w:bidi="en_US"/>
        </w:rPr>
      </w:r>
    </w:p>
    <w:p>
      <w:pPr/>
      <w:r>
        <w:rPr>
          <w:lang w:val="en_US" w:bidi="en_US"/>
        </w:rPr>
      </w:r>
      <w:r>
        <w:rPr>
          <w:lang w:val="en_US" w:bidi="en_US"/>
        </w:rPr>
        <w:t xml:space="preserve">Peter teaches that God has given believers all that they need for living godly lives. Therefore, believers should do everything they can to obey God more and more. If believers continue to do this, then they will be effective and productive through their relationship with Jesus. However, if believers do not continue living godly lives, then it is as though they have forgotten what God did through Christ to save them. (See: </w:t>
      </w:r>
      <w:r>
        <w:rPr>
          <w:lang w:val="en_US" w:bidi="en_US"/>
        </w:rPr>
        <w:t>godly, godliness, ungodly, godless, ungodliness, godlessness</w:t>
      </w:r>
      <w:r>
        <w:rPr>
          <w:lang w:val="en_US" w:bidi="en_US"/>
        </w:rPr>
        <w:t xml:space="preserve">; and </w:t>
      </w:r>
      <w:r>
        <w:rPr>
          <w:lang w:val="en_US" w:bidi="en_US"/>
        </w:rPr>
        <w:t>save, saved, safe, salvation, rescue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truth of Scripture</w:t>
      </w:r>
      <w:r>
        <w:rPr>
          <w:lang w:val="en_US" w:bidi="en_US"/>
        </w:rPr>
      </w:r>
    </w:p>
    <w:p>
      <w:pPr/>
      <w:r>
        <w:rPr>
          <w:lang w:val="en_US" w:bidi="en_US"/>
        </w:rPr>
      </w:r>
      <w:r>
        <w:rPr>
          <w:lang w:val="en_US" w:bidi="en_US"/>
        </w:rPr>
        <w:t>Peter teaches that the prophecies in Scripture were not made up by men. The Holy Spirit revealed God’s message to the men who spoke them or wrote them down. Also, Peter and the other apostles did not make up the stories they told people about Jesus. They witnessed what Jesus did and heard God call Jesus his son.</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1:5–7.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 &amp; 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 &amp; 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 &amp; 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 &amp; 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1:5–7.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1:5–7. Peter gave a positive reason in 1:8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1:8–9.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1:5–7 and 1:10.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Peter uses </w:t>
      </w:r>
      <w:r>
        <w:rPr>
          <w:b/>
          <w:lang w:val="en_US" w:bidi="en_US"/>
        </w:rPr>
        <w:t>Therefore</w:t>
      </w:r>
      <w:r>
        <w:rPr>
          <w:lang w:val="en_US" w:bidi="en_US"/>
        </w:rPr>
        <w:t xml:space="preserve"> to introduce the purpose of his letter. In order to encourage his readers to do everything he has said in 1:5–10, and especially because of the promise in 1:11,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καθὼς καὶ ὁ Κύριος ἡμῶν, Ἰησοῦς Χριστὸς, ἐδήλωσέν μοι</w:t>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In this clause Peter is giving a reason why he will always remind his audience of doctrinal truths in this letter, specifically faith, goodness, knowledge, self-control, endurance, godliness, brotherly affection, and love, which Peter mentioned in 1:5–7.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τὴν τοῦ Κυρίου ἡμῶν Ἰησοῦ Χριστοῦ δύναμιν καὶ παρουσίαν</w:t>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pStyle w:val="Heading2"/>
      </w:pPr>
      <w:r>
        <w:rPr>
          <w:lang w:val="en_US" w:bidi="en_US"/>
        </w:rPr>
        <w:t>Connecting Statement:</w:t>
      </w:r>
      <w:r>
        <w:rPr>
          <w:lang w:val="en_US" w:bidi="en_US"/>
        </w:rPr>
      </w:r>
    </w:p>
    <w:p>
      <w:pPr/>
      <w:r>
        <w:rPr>
          <w:lang w:val="en_US" w:bidi="en_US"/>
        </w:rPr>
      </w:r>
      <w:r>
        <w:rPr>
          <w:b/>
          <w:lang w:val="en_US" w:bidi="en_US"/>
        </w:rPr>
        <w:t>For</w:t>
      </w:r>
      <w:r>
        <w:rPr>
          <w:lang w:val="en_US" w:bidi="en_US"/>
        </w:rPr>
        <w:t xml:space="preserve"> indicates that in 1:16–21 Peter explains to the believers why they should remember “these things,” which were mentioned in 1:5–7.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 &amp; my &amp; 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1:17–18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1:18–19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r>
        <w:rPr>
          <w:lang w:val="en_US" w:bidi="en_US"/>
        </w:rPr>
      </w:r>
    </w:p>
    <w:p>
      <w:pPr/>
      <w:r>
        <w:rPr>
          <w:lang w:val="en_US" w:bidi="en_US"/>
        </w:rPr>
      </w:r>
      <w:r>
        <w:rPr>
          <w:lang w:val="en_US" w:bidi="en_US"/>
        </w:rPr>
        <w:t>Peter continues this letter in 2:1–3 by predicting that false teachers will try to deceive the believers, just as false prophets did during the time true prophets were writing the Old Testament. Then in 2:4–10a Peter describes examples of God punishing those who acted similarly to the coming false teachers. Peter then closes this section in 2:10b–22 by describing the wicked character and deeds of these false teachers.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a metaphor for a person’s sinful nature. It is not the physical part of man that is sinful. “Flesh” represents the human nature that rejects all things godly and desires what is sinful. This is the condition of all humans before they receive the Holy Spirit by believing in Jesus.</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are several analogies in 2:4–8 that are difficult to understand if the Old Testament has not yet been translated. Further explanation may be necessary.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 xml:space="preserve">Here, </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2:1.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2:1.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2:4,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pStyle w:val="Heading2"/>
      </w:pPr>
      <w:r>
        <w:rPr>
          <w:lang w:val="en_US" w:bidi="en_US"/>
        </w:rPr>
        <w:t>Connecting Statement:</w:t>
      </w:r>
      <w:r>
        <w:rPr>
          <w:lang w:val="en_US" w:bidi="en_US"/>
        </w:rPr>
      </w:r>
    </w:p>
    <w:p>
      <w:pPr/>
      <w:r>
        <w:rPr>
          <w:lang w:val="en_US" w:bidi="en_US"/>
        </w:rPr>
      </w:r>
      <w:r>
        <w:rPr>
          <w:lang w:val="en_US" w:bidi="en_US"/>
        </w:rPr>
        <w:t xml:space="preserve">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2:2.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and</w:t>
      </w:r>
      <w:r>
        <w:rPr>
          <w:lang w:val="en_US" w:bidi="en_US"/>
        </w:rPr>
        <w:t xml:space="preserve"> indicates the beginning of the fourth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This verse and the next verse are the end of a conditional sentence that extends from 2:4 to 2:10. Peter is giving the result of the previous conditions being true. If you have made 2:4–10 into separate sentences, then you will need to indicate that 2:9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2:22.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2:1.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pStyle w:val="Heading2"/>
      </w:pPr>
      <w:r>
        <w:rPr>
          <w:lang w:val="en_US" w:bidi="en_US"/>
        </w:rPr>
        <w:t>Connecting Statement:</w:t>
      </w:r>
      <w:r>
        <w:rPr>
          <w:lang w:val="en_US" w:bidi="en_US"/>
        </w:rPr>
      </w:r>
    </w:p>
    <w:p>
      <w:pPr/>
      <w:r>
        <w:rPr>
          <w:lang w:val="en_US" w:bidi="en_US"/>
        </w:rPr>
      </w:r>
      <w:r>
        <w:rPr>
          <w:lang w:val="en_US" w:bidi="en_US"/>
        </w:rPr>
        <w:t xml:space="preserve">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2:1.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2:10.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2:1.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Here, the pronoun </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2:2.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2:1.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2:2.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2:1.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2:18,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1:2.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pStyle w:val="Heading2"/>
      </w:pPr>
      <w:r>
        <w:rPr>
          <w:lang w:val="en_US" w:bidi="en_US"/>
        </w:rPr>
        <w:t>Connecting Statement:</w:t>
      </w:r>
      <w:r>
        <w:rPr>
          <w:lang w:val="en_US" w:bidi="en_US"/>
        </w:rPr>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and discussed in 2:12–19.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 and the apostles delivered]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2:2 and “the straight way” in 2:15.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 that were delivered]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 &amp;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Fire</w:t>
      </w:r>
      <w:r>
        <w:rPr>
          <w:lang w:val="en_US" w:bidi="en_US"/>
        </w:rPr>
      </w:r>
    </w:p>
    <w:p>
      <w:pPr/>
      <w:r>
        <w:rPr>
          <w:lang w:val="en_US" w:bidi="en_US"/>
        </w:rPr>
      </w:r>
      <w:r>
        <w:rPr>
          <w:lang w:val="en_US" w:bidi="en_US"/>
        </w:rPr>
        <w:t>People often use fire to destroy things or to make something pure by burning off the dirt and worthless parts. Therefore, when God punishes the wicked or purifies his people, that action is often associated with fire.</w:t>
      </w:r>
      <w:r>
        <w:rPr>
          <w:lang w:val="en_US" w:bidi="en_US"/>
        </w:rPr>
      </w:r>
    </w:p>
    <w:p>
      <w:pPr>
        <w:pStyle w:val="Heading4"/>
      </w:pPr>
      <w:r>
        <w:rPr>
          <w:lang w:val="en_US" w:bidi="en_US"/>
        </w:rPr>
        <w:t>Day of the Lord</w:t>
      </w:r>
      <w:r>
        <w:rPr>
          <w:lang w:val="en_US" w:bidi="en_US"/>
        </w:rPr>
      </w:r>
    </w:p>
    <w:p>
      <w:pPr/>
      <w:r>
        <w:rPr>
          <w:lang w:val="en_US" w:bidi="en_US"/>
        </w:rPr>
      </w:r>
      <w:r>
        <w:rPr>
          <w:lang w:val="en_US" w:bidi="en_US"/>
        </w:rPr>
        <w:t xml:space="preserve">The exact time of the coming day of the Lord will come as a surprise to people. This is what the simile “like a thief in the night” means. Because of this, Christians are to be prepared at all times for the coming of the Lord. (See: </w:t>
      </w:r>
      <w:r>
        <w:rPr>
          <w:lang w:val="en_US" w:bidi="en_US"/>
        </w:rPr>
        <w:t>day of the Lord, day of Yahweh</w:t>
      </w:r>
      <w:r>
        <w:rPr>
          <w:lang w:val="en_US" w:bidi="en_US"/>
        </w:rPr>
        <w:t xml:space="preserve">; and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as if the minds of his readers are asleep, to refer to causing his readers to think about these things. If it would be helpful in your language, you could express this metaphor by translating this plainly. See how you translated this term in 1:13.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1:13.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1:19–21.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See how you translated this in 1:20.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1:20.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3:5–6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3:3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3:4.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3:10.</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τὸ ἐπάγγελμα αὐτοῦ</w:t>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3:4.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3:10–13.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3:10–13.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Because the Lord is patient, the day of judgment has not yet happened. This gives people an opportunity to repent and be saved, as Peter explained in 3:9.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3:10–13 and called “these things” in 3:14. Alternate translation: [these things that will happen on the day of the Lord]; (2) the need to live godly lives and consider that God’s patience is for saving people, as discussed in 3:14–15.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and 3:14.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pStyle w:val="Heading2"/>
      </w:pPr>
      <w:r>
        <w:rPr>
          <w:lang w:val="en_US" w:bidi="en_US"/>
        </w:rPr>
        <w:t>Connecting Statement:</w:t>
      </w:r>
      <w:r>
        <w:rPr>
          <w:lang w:val="en_US" w:bidi="en_US"/>
        </w:rPr>
      </w:r>
    </w:p>
    <w:p>
      <w:pPr/>
      <w:r>
        <w:rPr>
          <w:lang w:val="en_US" w:bidi="en_US"/>
        </w:rPr>
      </w:r>
      <w:r>
        <w:rPr>
          <w:lang w:val="en_US" w:bidi="en_US"/>
        </w:rPr>
        <w:t>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