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 Capítulo 1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está para facilitar una transición fluida desde el último capítulo del libro de Génesis.</w:t>
      </w:r>
    </w:p>
    <w:p>
      <w:pPr>
        <w:pStyle w:val="ListBullet"/>
        <w:spacing w:line="240" w:lineRule="auto"/>
        <w:ind w:left="720"/>
      </w:pPr>
      <w:r>
        <w:rPr>
          <w:lang w:val="es_ES" w:bidi="es_ES"/>
        </w:rPr>
      </w:r>
      <w:r>
        <w:rPr>
          <w:lang w:val="es_ES" w:bidi="es_ES"/>
        </w:rPr>
        <w:t>v 1–7: La familia de Jacob aumenta</w:t>
      </w:r>
    </w:p>
    <w:p>
      <w:pPr>
        <w:pStyle w:val="ListBullet"/>
        <w:spacing w:line="240" w:lineRule="auto"/>
        <w:ind w:left="720"/>
      </w:pPr>
      <w:r>
        <w:rPr>
          <w:lang w:val="es_ES" w:bidi="es_ES"/>
        </w:rPr>
      </w:r>
      <w:r>
        <w:rPr>
          <w:lang w:val="es_ES" w:bidi="es_ES"/>
        </w:rPr>
        <w:t>v 8–22: El faraón oprime a los israelitas e intenta limitar su crecimiento</w:t>
      </w:r>
    </w:p>
    <w:p>
      <w:pPr>
        <w:pStyle w:val="Heading3"/>
      </w:pPr>
      <w:r>
        <w:rPr>
          <w:lang w:val="es_ES" w:bidi="es_ES"/>
        </w:rPr>
        <w:t>Conceptos especiales en este capítulo</w:t>
      </w:r>
    </w:p>
    <w:p>
      <w:pPr>
        <w:pStyle w:val="Heading4"/>
      </w:pPr>
      <w:r>
        <w:rPr>
          <w:lang w:val="es_ES" w:bidi="es_ES"/>
        </w:rPr>
        <w:t>Crecimiento de Israel</w:t>
      </w:r>
    </w:p>
    <w:p>
      <w:pPr/>
      <w:r>
        <w:rPr>
          <w:lang w:val="es_ES" w:bidi="es_ES"/>
        </w:rPr>
      </w:r>
      <w:r>
        <w:rPr>
          <w:lang w:val="es_ES" w:bidi="es_ES"/>
        </w:rPr>
        <w:t xml:space="preserve">Israel creció en número. Este fue el comienzo del cumplimiento de las promesas de Dios a Abraham. Esto también hizo que el Faraón se preocupara de que hubiera más israelitas que egipcios, lo que podría resultar en que los egipcios no pudieran defenderse contra tanta gente. El Faraón intentó matar a todos los bebés varones para evitar que se convirtieran en soldados que lucharan contra él. (Ver: </w:t>
      </w:r>
      <w:r>
        <w:rPr>
          <w:lang w:val="es_ES" w:bidi="es_ES"/>
        </w:rPr>
        <w:t>Cumplir</w:t>
      </w:r>
      <w:r>
        <w:rPr>
          <w:lang w:val="es_ES" w:bidi="es_ES"/>
        </w:rPr>
        <w:t xml:space="preserve"> y </w:t>
      </w:r>
      <w:r>
        <w:rPr>
          <w:lang w:val="es_ES" w:bidi="es_ES"/>
        </w:rPr>
        <w:t>Pacto</w:t>
      </w:r>
      <w:r>
        <w:rPr>
          <w:lang w:val="es_ES" w:bidi="es_ES"/>
        </w:rPr>
        <w:t>)</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“Todos los descendientes de Jacob sumaban un total de 70”. Este número incluía tanto a los hijos como a los nietos de Jacob. Puede generar confusión, pero es importante recordar que Jacob tuvo solo 12 hijos.</w:t>
      </w:r>
    </w:p>
    <w:p>
      <w:pPr>
        <w:pStyle w:val="ListBullet"/>
        <w:spacing w:line="240" w:lineRule="auto"/>
        <w:ind w:left="720"/>
      </w:pPr>
      <w:r>
        <w:rPr>
          <w:lang w:val="es_ES" w:bidi="es_ES"/>
        </w:rPr>
      </w:r>
      <w:r>
        <w:rPr>
          <w:lang w:val="es_ES" w:bidi="es_ES"/>
        </w:rPr>
        <w:t xml:space="preserve">A partir del versículo 7, los términos </w:t>
      </w:r>
      <w:r>
        <w:rPr>
          <w:b/>
          <w:lang w:val="es_ES" w:bidi="es_ES"/>
        </w:rPr>
        <w:t>hebreos</w:t>
      </w:r>
      <w:r>
        <w:rPr>
          <w:lang w:val="es_ES" w:bidi="es_ES"/>
        </w:rPr>
        <w:t xml:space="preserve"> y </w:t>
      </w:r>
      <w:r>
        <w:rPr>
          <w:b/>
          <w:lang w:val="es_ES" w:bidi="es_ES"/>
        </w:rPr>
        <w:t>hijos de Israel</w:t>
      </w:r>
      <w:r>
        <w:rPr>
          <w:lang w:val="es_ES" w:bidi="es_ES"/>
        </w:rPr>
        <w:t xml:space="preserve"> se refieren tanto a la nación israelita como al grupo de personas.</w:t>
      </w:r>
    </w:p>
    <w:p>
      <w:pPr>
        <w:pStyle w:val="ListBullet"/>
        <w:spacing w:line="240" w:lineRule="auto"/>
        <w:ind w:left="720"/>
      </w:pPr>
      <w:r>
        <w:rPr>
          <w:lang w:val="es_ES" w:bidi="es_ES"/>
        </w:rPr>
      </w:r>
      <w:r>
        <w:rPr>
          <w:lang w:val="es_ES" w:bidi="es_ES"/>
        </w:rPr>
        <w:t>Dios bendice a las parteras hebreas por mentir al malvado faraón. Los traductores no deben intentar ocultar este hecho. Ellas demostraron su temor a Dios al desobedecer una orden malvada para preservar las vidas del pueblo de Dios.</w:t>
      </w:r>
    </w:p>
    <w:p>
      <w:pPr>
        <w:pStyle w:val="ListBullet"/>
        <w:spacing w:line="240" w:lineRule="auto"/>
        <w:ind w:left="720"/>
      </w:pPr>
      <w:r>
        <w:rPr>
          <w:lang w:val="es_ES" w:bidi="es_ES"/>
        </w:rPr>
      </w:r>
      <w:r>
        <w:rPr>
          <w:lang w:val="es_ES" w:bidi="es_ES"/>
        </w:rPr>
        <w:t>Faraón es una palabra específicamente egipcia para referirse a sus reyes y reinas.</w:t>
      </w:r>
      <w:r>
        <w:rPr>
          <w:lang w:val="es_ES" w:bidi="es_ES"/>
        </w:rPr>
      </w:r>
      <w:r>
        <w:rPr>
          <w:lang w:val="es_ES" w:bidi="es_ES"/>
        </w:rPr>
      </w:r>
    </w:p>
    <w:p>
      <w:pPr/>
      <w:r>
        <w:rPr>
          <w:lang w:val="es_ES" w:bidi="es_ES"/>
        </w:rPr>
      </w:r>
    </w:p>
    <w:p>
      <w:pPr>
        <w:pStyle w:val="Heading2"/>
      </w:pPr>
      <w:r>
        <w:rPr>
          <w:lang w:val="es_ES" w:bidi="es_ES"/>
        </w:rPr>
        <w:t>Éxodo 3:7 (#8)</w:t>
      </w:r>
      <w:r>
        <w:rPr>
          <w:lang w:val="es_ES" w:bidi="es_ES"/>
        </w:rPr>
      </w:r>
    </w:p>
    <w:p>
      <w:pPr/>
      <w:r>
        <w:rPr>
          <w:lang w:val="es_ES" w:bidi="es_ES"/>
        </w:rPr>
      </w:r>
      <w:r>
        <w:rPr>
          <w:lang w:val="es_ES" w:bidi="es_ES"/>
        </w:rPr>
        <w:t>נֹֽגְשָׂ֔י⁠ו &amp; אֶת־מַכְאֹבָֽי⁠ו</w:t>
      </w:r>
    </w:p>
    <w:p>
      <w:pPr/>
      <w:r>
        <w:rPr>
          <w:lang w:val="es_ES" w:bidi="es_ES"/>
        </w:rPr>
      </w:r>
      <w:r>
        <w:rPr>
          <w:b/>
          <w:lang w:val="es_ES" w:bidi="es_ES"/>
        </w:rPr>
        <w:t>"aquellos que lo oprimen [a él]"</w:t>
      </w:r>
      <w:r>
        <w:rPr>
          <w:lang w:val="es_ES" w:bidi="es_ES"/>
        </w:rPr>
        <w:t xml:space="preserve"> - </w:t>
      </w:r>
      <w:r>
        <w:rPr>
          <w:b/>
          <w:lang w:val="es_ES" w:bidi="es_ES"/>
        </w:rPr>
        <w:t>"su angustia"</w:t>
      </w:r>
    </w:p>
    <w:p>
      <w:pPr/>
      <w:r>
        <w:rPr>
          <w:lang w:val="es_ES" w:bidi="es_ES"/>
        </w:rPr>
      </w:r>
      <w:r>
        <w:rPr>
          <w:lang w:val="es_ES" w:bidi="es_ES"/>
        </w:rPr>
        <w:t xml:space="preserve">Estos pronombres, </w:t>
      </w:r>
      <w:r>
        <w:rPr>
          <w:b/>
          <w:lang w:val="es_ES" w:bidi="es_ES"/>
        </w:rPr>
        <w:t>él</w:t>
      </w:r>
      <w:r>
        <w:rPr>
          <w:lang w:val="es_ES" w:bidi="es_ES"/>
        </w:rPr>
        <w:t xml:space="preserve"> y </w:t>
      </w:r>
      <w:r>
        <w:rPr>
          <w:b/>
          <w:lang w:val="es_ES" w:bidi="es_ES"/>
        </w:rPr>
        <w:t>su</w:t>
      </w:r>
      <w:r>
        <w:rPr>
          <w:lang w:val="es_ES" w:bidi="es_ES"/>
        </w:rPr>
        <w:t>, se refieren a los israelitas como un grupo en singular. El pronombre implícito "ellos" en la primera frase concuerda con “pueblo”, tomado como sustantivo colectivo algunos versos antes. Algunos idiomas pueden tener que usar pronombres plurales. Otros pueden tener que hacer coincidir el género del pronombre con el género gramatical de la palabra para “pueblo” en su idioma. Si es necesario, cambie “él” a “ellos” o cambie “su” a “suya” o “su” (dependiendo del género gramatical de “pueblo”). Traducción alternativa: “aquellos que los oprimen … su angustia”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Éxodo 12:14 (#1)</w:t>
      </w:r>
      <w:r>
        <w:rPr>
          <w:lang w:val="es_ES" w:bidi="es_ES"/>
        </w:rPr>
      </w:r>
    </w:p>
    <w:p>
      <w:pPr/>
      <w:r>
        <w:rPr>
          <w:lang w:val="es_ES" w:bidi="es_ES"/>
        </w:rPr>
      </w:r>
      <w:r>
        <w:rPr>
          <w:lang w:val="es_ES" w:bidi="es_ES"/>
        </w:rPr>
        <w:t>וְ⁠הָיָה֩ הַ⁠יּ֨וֹם הַ⁠זֶּ֤ה</w:t>
      </w:r>
    </w:p>
    <w:p>
      <w:pPr/>
      <w:r>
        <w:rPr>
          <w:lang w:val="es_ES" w:bidi="es_ES"/>
        </w:rPr>
      </w:r>
      <w:r>
        <w:rPr>
          <w:b/>
          <w:lang w:val="es_ES" w:bidi="es_ES"/>
        </w:rPr>
        <w:t>"Y este día se convertirá"</w:t>
      </w:r>
    </w:p>
    <w:p>
      <w:pPr/>
      <w:r>
        <w:rPr>
          <w:lang w:val="es_ES" w:bidi="es_ES"/>
        </w:rPr>
      </w:r>
      <w:r>
        <w:rPr>
          <w:lang w:val="es_ES" w:bidi="es_ES"/>
        </w:rPr>
        <w:t xml:space="preserve">Los versículos </w:t>
      </w:r>
      <w:hyperlink r:id="rId13">
        <w:r>
          <w:rPr>
            <w:lang w:val="es_ES" w:bidi="es_ES"/>
          </w:rPr>
          <w:rPr>
            <w:color w:val="0000EE"/>
            <w:u w:val="single"/>
          </w:rPr>
          <w:t>14–20</w:t>
        </w:r>
      </w:hyperlink>
      <w:r>
        <w:rPr>
          <w:lang w:val="es_ES" w:bidi="es_ES"/>
        </w:rPr>
        <w:t xml:space="preserve"> son instrucciones para la futura celebración de la Pascua por parte de los israelitas. Si tu idioma hace una distinción entre eventos futuros cercanos y lejanos o entre mandatos cercanos y generales, puede que necesites aclarar que estos versículos tienen principalmente una aplicación posterior.</w:t>
      </w:r>
      <w:r>
        <w:rPr>
          <w:lang w:val="es_ES" w:bidi="es_ES"/>
        </w:rPr>
      </w:r>
      <w:r>
        <w:rPr>
          <w:lang w:val="es_ES" w:bidi="es_ES"/>
        </w:rPr>
      </w:r>
    </w:p>
    <w:p>
      <w:pPr/>
      <w:r>
        <w:rPr>
          <w:lang w:val="es_ES" w:bidi="es_ES"/>
        </w:rPr>
      </w:r>
    </w:p>
    <w:p>
      <w:pPr>
        <w:pStyle w:val="Heading2"/>
      </w:pPr>
      <w:r>
        <w:rPr>
          <w:lang w:val="es_ES" w:bidi="es_ES"/>
        </w:rPr>
        <w:t>Éxodo 25:23 (#1)</w:t>
      </w:r>
      <w:r>
        <w:rPr>
          <w:lang w:val="es_ES" w:bidi="es_ES"/>
        </w:rPr>
      </w:r>
    </w:p>
    <w:p>
      <w:pPr/>
      <w:r>
        <w:rPr>
          <w:lang w:val="es_ES" w:bidi="es_ES"/>
        </w:rPr>
      </w:r>
      <w:r>
        <w:rPr>
          <w:lang w:val="es_ES" w:bidi="es_ES"/>
        </w:rPr>
        <w:t>אַמָּתַ֤יִם אָרְכּ⁠וֹ֙ וְ⁠אַמָּ֣ה רָחְבּ֔⁠וֹ וְ⁠אַמָּ֥ה וָ⁠חֵ֖צִי קֹמָתֽ⁠וֹ</w:t>
      </w:r>
    </w:p>
    <w:p>
      <w:pPr/>
      <w:r>
        <w:rPr>
          <w:lang w:val="es_ES" w:bidi="es_ES"/>
        </w:rPr>
      </w:r>
      <w:r>
        <w:rPr>
          <w:b/>
          <w:lang w:val="es_ES" w:bidi="es_ES"/>
        </w:rPr>
        <w:t>"acacias. Su longitud: dos codos, y su ancho: un codo, y su altura: un codo y medio"</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centímetros. Para tu referencia, una conversión más precisa al sistema métrico es: 92 centímetros … 46 centímetros … 69 centímetros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29:31 (#1)</w:t>
      </w:r>
      <w:r>
        <w:rPr>
          <w:lang w:val="es_ES" w:bidi="es_ES"/>
        </w:rPr>
      </w:r>
    </w:p>
    <w:p>
      <w:pPr/>
      <w:r>
        <w:rPr>
          <w:lang w:val="es_ES" w:bidi="es_ES"/>
        </w:rPr>
      </w:r>
      <w:r>
        <w:rPr>
          <w:lang w:val="es_ES" w:bidi="es_ES"/>
        </w:rPr>
        <w:t>אֵ֥יל הַ⁠מִּלֻּאִ֖ים</w:t>
      </w:r>
    </w:p>
    <w:p>
      <w:pPr/>
      <w:r>
        <w:rPr>
          <w:lang w:val="es_ES" w:bidi="es_ES"/>
        </w:rPr>
      </w:r>
      <w:r>
        <w:rPr>
          <w:b/>
          <w:lang w:val="es_ES" w:bidi="es_ES"/>
        </w:rPr>
        <w:t>"el carnero de consagración"</w:t>
      </w:r>
    </w:p>
    <w:p>
      <w:pPr/>
      <w:r>
        <w:rPr>
          <w:lang w:val="es_ES" w:bidi="es_ES"/>
        </w:rPr>
      </w:r>
      <w:r>
        <w:rPr>
          <w:lang w:val="es_ES" w:bidi="es_ES"/>
        </w:rPr>
        <w:t xml:space="preserve">El </w:t>
      </w:r>
      <w:r>
        <w:rPr>
          <w:b/>
          <w:lang w:val="es_ES" w:bidi="es_ES"/>
        </w:rPr>
        <w:t>carnero de consagración</w:t>
      </w:r>
      <w:r>
        <w:rPr>
          <w:lang w:val="es_ES" w:bidi="es_ES"/>
        </w:rPr>
        <w:t xml:space="preserve"> se refiere al segundo carnero, el que se describe en </w:t>
      </w:r>
      <w:hyperlink r:id="rId14">
        <w:r>
          <w:rPr>
            <w:lang w:val="es_ES" w:bidi="es_ES"/>
          </w:rPr>
          <w:rPr>
            <w:color w:val="0000EE"/>
            <w:u w:val="single"/>
          </w:rPr>
          <w:t>29:19</w:t>
        </w:r>
      </w:hyperlink>
      <w:r>
        <w:rPr>
          <w:lang w:val="es_ES" w:bidi="es_ES"/>
        </w:rPr>
        <w:t xml:space="preserve"> y siguientes.</w:t>
      </w:r>
      <w:r>
        <w:rPr>
          <w:lang w:val="es_ES" w:bidi="es_ES"/>
        </w:rPr>
      </w:r>
      <w:r>
        <w:rPr>
          <w:lang w:val="es_ES" w:bidi="es_ES"/>
        </w:rPr>
      </w:r>
    </w:p>
    <w:p>
      <w:pPr/>
      <w:r>
        <w:rPr>
          <w:lang w:val="es_ES" w:bidi="es_ES"/>
        </w:rPr>
      </w:r>
    </w:p>
    <w:p>
      <w:pPr>
        <w:pStyle w:val="Heading2"/>
      </w:pPr>
      <w:r>
        <w:rPr>
          <w:lang w:val="es_ES" w:bidi="es_ES"/>
        </w:rPr>
        <w:t>Éxodo 30:2 (#2)</w:t>
      </w:r>
      <w:r>
        <w:rPr>
          <w:lang w:val="es_ES" w:bidi="es_ES"/>
        </w:rPr>
      </w:r>
    </w:p>
    <w:p>
      <w:pPr/>
      <w:r>
        <w:rPr>
          <w:lang w:val="es_ES" w:bidi="es_ES"/>
        </w:rPr>
      </w:r>
      <w:r>
        <w:rPr>
          <w:lang w:val="es_ES" w:bidi="es_ES"/>
        </w:rPr>
        <w:t>אַמָּ֨ה &amp; וְ⁠אַמָּ֤ה &amp; וְ⁠אַמָּתַ֖יִם</w:t>
      </w:r>
    </w:p>
    <w:p>
      <w:pPr/>
      <w:r>
        <w:rPr>
          <w:lang w:val="es_ES" w:bidi="es_ES"/>
        </w:rPr>
      </w:r>
      <w:r>
        <w:rPr>
          <w:b/>
          <w:lang w:val="es_ES" w:bidi="es_ES"/>
        </w:rPr>
        <w:t>"será de un codo y"</w:t>
      </w:r>
      <w:r>
        <w:rPr>
          <w:lang w:val="es_ES" w:bidi="es_ES"/>
        </w:rPr>
        <w:t xml:space="preserve"> - </w:t>
      </w:r>
      <w:r>
        <w:rPr>
          <w:b/>
          <w:lang w:val="es_ES" w:bidi="es_ES"/>
        </w:rPr>
        <w:t>"será de un codo."</w:t>
      </w:r>
      <w:r>
        <w:rPr>
          <w:lang w:val="es_ES" w:bidi="es_ES"/>
        </w:rPr>
        <w:t xml:space="preserve"> - </w:t>
      </w:r>
      <w:r>
        <w:rPr>
          <w:b/>
          <w:lang w:val="es_ES" w:bidi="es_ES"/>
        </w:rPr>
        <w:t>"y"</w:t>
      </w:r>
      <w:r>
        <w:rPr>
          <w:lang w:val="es_ES" w:bidi="es_ES"/>
        </w:rPr>
        <w:t xml:space="preserve"> - </w:t>
      </w:r>
      <w:r>
        <w:rPr>
          <w:b/>
          <w:lang w:val="es_ES" w:bidi="es_ES"/>
        </w:rPr>
        <w:t>"será de dos codos"</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cm. Para tu referencia, una conversión más precisa al sistema métrico es: 46 cm … 46 cm … 92 cm</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30:15 (#1)</w:t>
      </w:r>
      <w:r>
        <w:rPr>
          <w:lang w:val="es_ES" w:bidi="es_ES"/>
        </w:rPr>
      </w:r>
    </w:p>
    <w:p>
      <w:pPr/>
      <w:r>
        <w:rPr>
          <w:lang w:val="es_ES" w:bidi="es_ES"/>
        </w:rPr>
      </w:r>
      <w:r>
        <w:rPr>
          <w:b/>
          <w:lang w:val="es_ES" w:bidi="es_ES"/>
        </w:rPr>
        <w:t>"del medio shekel"</w:t>
      </w:r>
    </w:p>
    <w:p>
      <w:pPr/>
      <w:r>
        <w:rPr>
          <w:lang w:val="es_ES" w:bidi="es_ES"/>
        </w:rPr>
      </w:r>
      <w:r>
        <w:rPr>
          <w:lang w:val="es_ES" w:bidi="es_ES"/>
        </w:rPr>
        <w:t xml:space="preserve">Mira cómo tradujiste esto en </w:t>
      </w:r>
      <w:hyperlink r:id="rId15">
        <w:r>
          <w:rPr>
            <w:lang w:val="es_ES" w:bidi="es_ES"/>
          </w:rPr>
          <w:rPr>
            <w:color w:val="0000EE"/>
            <w:u w:val="single"/>
          </w:rPr>
          <w:t>Éxodo 30:13</w:t>
        </w:r>
      </w:hyperlink>
      <w:r>
        <w:rPr>
          <w:lang w:val="es_ES" w:bidi="es_ES"/>
        </w:rPr>
        <w:t>.</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4-Exod12:20" TargetMode="External"/><Relationship Id="rId14" Type="http://schemas.openxmlformats.org/officeDocument/2006/relationships/hyperlink" Target="https://ref.ly/Exod29:19" TargetMode="External"/><Relationship Id="rId15" Type="http://schemas.openxmlformats.org/officeDocument/2006/relationships/hyperlink" Target="https://ref.ly/Exod30: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