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 - Introdução</w:t>
      </w:r>
      <w:r/>
    </w:p>
    <w:p>
      <w:pPr>
        <w:pStyle w:val="Heading3"/>
      </w:pPr>
      <w:r>
        <w:t>Parte 1: Introdução geral</w:t>
      </w:r>
    </w:p>
    <w:p>
      <w:pPr>
        <w:pStyle w:val="Heading4"/>
      </w:pPr>
      <w:r>
        <w:t>Resumo do livro de 1 João</w:t>
      </w:r>
    </w:p>
    <w:p>
      <w:r/>
      <w: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spacing w:line="240" w:lineRule="auto"/>
        <w:ind w:left="720"/>
      </w:pPr>
      <w:r/>
      <w:r>
        <w:t>Abertura da Carta (1.1–4)</w:t>
      </w:r>
    </w:p>
    <w:p>
      <w:pPr>
        <w:pStyle w:val="ListNumber"/>
        <w:spacing w:line="240" w:lineRule="auto"/>
        <w:ind w:left="720"/>
      </w:pPr>
      <w:r/>
      <w:r>
        <w:t>Corpo principal da Carta (1.5–5.12)</w:t>
      </w:r>
    </w:p>
    <w:p>
      <w:pPr>
        <w:pStyle w:val="ListBullet"/>
        <w:spacing w:line="240" w:lineRule="auto"/>
        <w:ind w:left="1440"/>
      </w:pPr>
      <w:r/>
      <w:r>
        <w:t>Os verdadeiros crentes obedecem a Deus e amam uns aos outros (1.5–2.17)</w:t>
      </w:r>
    </w:p>
    <w:p>
      <w:pPr>
        <w:pStyle w:val="ListBullet"/>
        <w:spacing w:line="240" w:lineRule="auto"/>
        <w:ind w:left="1440"/>
      </w:pPr>
      <w:r/>
      <w:r>
        <w:t>É um falso ensino negar que Jesus é o Messias (2.18–2.27)</w:t>
      </w:r>
    </w:p>
    <w:p>
      <w:pPr>
        <w:pStyle w:val="ListBullet"/>
        <w:spacing w:line="240" w:lineRule="auto"/>
        <w:ind w:left="1440"/>
      </w:pPr>
      <w:r/>
      <w:r>
        <w:t>Os verdadeiros filhos de Deus não pecam (2.28–3.10)</w:t>
      </w:r>
    </w:p>
    <w:p>
      <w:pPr>
        <w:pStyle w:val="ListBullet"/>
        <w:spacing w:line="240" w:lineRule="auto"/>
        <w:ind w:left="1440"/>
      </w:pPr>
      <w:r/>
      <w:r>
        <w:t>Os verdadeiros crentes ajudam uns aos outros de forma sacrificial (3.11–18)</w:t>
      </w:r>
    </w:p>
    <w:p>
      <w:pPr>
        <w:pStyle w:val="ListBullet"/>
        <w:spacing w:line="240" w:lineRule="auto"/>
        <w:ind w:left="1440"/>
      </w:pPr>
      <w:r/>
      <w:r>
        <w:t>Os verdadeiros crentes têm confiança na oração (3.19–24)</w:t>
      </w:r>
    </w:p>
    <w:p>
      <w:pPr>
        <w:pStyle w:val="ListBullet"/>
        <w:spacing w:line="240" w:lineRule="auto"/>
        <w:ind w:left="1440"/>
      </w:pPr>
      <w:r/>
      <w:r>
        <w:t>É um falso ensinamento negar que Jesus se tornou humano (4.1–6)</w:t>
      </w:r>
    </w:p>
    <w:p>
      <w:pPr>
        <w:pStyle w:val="ListBullet"/>
        <w:spacing w:line="240" w:lineRule="auto"/>
        <w:ind w:left="1440"/>
      </w:pPr>
      <w:r/>
      <w:r>
        <w:t>Os verdadeiros crentes amam uns aos outros como Deus os amou (4.7–21)</w:t>
      </w:r>
    </w:p>
    <w:p>
      <w:pPr>
        <w:pStyle w:val="ListBullet"/>
        <w:spacing w:line="240" w:lineRule="auto"/>
        <w:ind w:left="1440"/>
      </w:pPr>
      <w:r/>
      <w:r>
        <w:t>É um falso ensino negar que Jesus é o Filho de Deus (5.1–12)</w:t>
      </w:r>
    </w:p>
    <w:p>
      <w:pPr>
        <w:pStyle w:val="ListNumber"/>
        <w:spacing w:line="240" w:lineRule="auto"/>
        <w:ind w:left="720"/>
      </w:pPr>
      <w:r/>
      <w:r>
        <w:t>Fechamento da Carta (5.13–21)</w:t>
      </w:r>
    </w:p>
    <w:p>
      <w:pPr>
        <w:pStyle w:val="Heading4"/>
      </w:pPr>
      <w:r>
        <w:t>Quem foi o autor do livro de 1 João?</w:t>
      </w:r>
    </w:p>
    <w:p>
      <w:r/>
      <w: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t>Para quem o livro de 1 João foi escrito?</w:t>
      </w:r>
    </w:p>
    <w:p>
      <w:r/>
      <w:r>
        <w:t>O autor escreveu esta carta para pessoas que ele chama de "amados" e "meus filhinhos". Isso provavelmente se refere a crentes em várias igrejas localizadas na área onde João vivia na época.</w:t>
      </w:r>
    </w:p>
    <w:p>
      <w:pPr>
        <w:pStyle w:val="Heading4"/>
      </w:pPr>
      <w:r>
        <w:t>Qual é o tema do livro de 1 João?</w:t>
      </w:r>
    </w:p>
    <w:p>
      <w:r/>
      <w: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t>Como o título deste livro deve ser traduzido?</w:t>
      </w:r>
    </w:p>
    <w:p>
      <w:r/>
      <w:r>
        <w:t xml:space="preserve">Os tradutores podem optar por chamar este livro pelo seu título tradicional, “1 João” ou “Primeiro João”. Eles também podem escolher um título diferente, como “A primeira carta de João” ou “A primeira carta que João escreveu”. (Veja: </w:t>
      </w:r>
      <w:r>
        <w:t>Como traduzir nomes</w:t>
      </w:r>
      <w:r>
        <w:t>)</w:t>
      </w:r>
    </w:p>
    <w:p>
      <w:pPr>
        <w:pStyle w:val="Heading3"/>
      </w:pPr>
      <w:r>
        <w:t>Parte 2: Conceitos religiosos e culturais importantes</w:t>
      </w:r>
    </w:p>
    <w:p>
      <w:pPr>
        <w:pStyle w:val="Heading4"/>
      </w:pPr>
      <w:r>
        <w:t>Contra quem João falou?</w:t>
      </w:r>
    </w:p>
    <w:p>
      <w:r/>
      <w: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t>Mal</w:t>
      </w:r>
      <w:r>
        <w:t>)</w:t>
      </w:r>
    </w:p>
    <w:p>
      <w:pPr>
        <w:pStyle w:val="Heading3"/>
      </w:pPr>
      <w:r>
        <w:t>Parte 3: Questões importantes de tradução</w:t>
      </w:r>
    </w:p>
    <w:p>
      <w:pPr>
        <w:pStyle w:val="Heading4"/>
      </w:pPr>
      <w:r>
        <w:t>"pecado"</w:t>
      </w:r>
    </w:p>
    <w:p>
      <w:r/>
      <w: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r/>
      <w: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t>Pecado</w:t>
      </w:r>
      <w:r>
        <w:t xml:space="preserve"> e </w:t>
      </w:r>
      <w:r>
        <w:t>Fé</w:t>
      </w:r>
      <w:r>
        <w:t xml:space="preserve"> e </w:t>
      </w:r>
      <w:r>
        <w:t>Perdoar</w:t>
      </w:r>
      <w:r>
        <w:t>)</w:t>
      </w:r>
    </w:p>
    <w:p>
      <w:pPr>
        <w:pStyle w:val="Heading4"/>
      </w:pPr>
      <w:r>
        <w:t>“permanecer”</w:t>
      </w:r>
    </w:p>
    <w:p>
      <w:r/>
      <w: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r/>
      <w:r>
        <w:t xml:space="preserve">Os tradutores podem achar difícil representar essas ideias em suas próprias línguas se tentarem usar exatamente as mesmas palavras e expressões todas as vezes. Por exemplo, em </w:t>
      </w:r>
      <w:hyperlink r:id="rId15">
        <w:r>
          <w:rPr>
            <w:color w:val="0000EE"/>
            <w:u w:val="single"/>
          </w:rPr>
          <w:t>2.6</w:t>
        </w:r>
      </w:hyperlink>
      <w:r>
        <w:t xml:space="preserve">, quando João fala de um crente “permanecendo” em Deus, ele pretende expressar a ideia de que esse crente está espiritualmente unificado com Deus. Assim, a NTLH fala sobre como o crente “vive unido com Deus”. Para dar outro exemplo, para a declaração em </w:t>
      </w:r>
      <w:hyperlink r:id="rId16">
        <w:r>
          <w:rPr>
            <w:color w:val="0000EE"/>
            <w:u w:val="single"/>
          </w:rPr>
          <w:t>2.14</w:t>
        </w:r>
      </w:hyperlink>
      <w: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t>“surgir”</w:t>
      </w:r>
    </w:p>
    <w:p>
      <w:r/>
      <w: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hyperlink r:id="rId17">
        <w:r>
          <w:rPr>
            <w:color w:val="0000EE"/>
            <w:u w:val="single"/>
          </w:rPr>
          <w:t>5.10</w:t>
        </w:r>
      </w:hyperlink>
      <w:r>
        <w:t xml:space="preserve"> que “todos devemos comparecer perante o tribunal de Cristo”. Claramente, isso não significa que devemos apenas parecer estar presentes lá. Em vez disso, devemos realmente chegar lá.</w:t>
      </w:r>
    </w:p>
    <w:p>
      <w:r/>
      <w:r>
        <w:t xml:space="preserve">Ao longo da carta, é uma questão sutil de interpretação decidir se João está usando o termo “aparecer” em um sentido ativo ou passivo. Por exemplo, em </w:t>
      </w:r>
      <w:hyperlink r:id="rId18">
        <w:r>
          <w:rPr>
            <w:color w:val="0000EE"/>
            <w:u w:val="single"/>
          </w:rPr>
          <w:t>1.2</w:t>
        </w:r>
      </w:hyperlink>
      <w: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t>“O mundo”</w:t>
      </w:r>
    </w:p>
    <w:p>
      <w:r/>
      <w: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t>"saber"</w:t>
      </w:r>
    </w:p>
    <w:p>
      <w:r/>
      <w: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t>"Nós"</w:t>
      </w:r>
    </w:p>
    <w:p>
      <w:r/>
      <w: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t>‘Nós’ exclusivo e inclusivo</w:t>
      </w:r>
      <w:r>
        <w:t>)</w:t>
      </w:r>
    </w:p>
    <w:p>
      <w:pPr>
        <w:pStyle w:val="Heading4"/>
      </w:pPr>
      <w:r>
        <w:t>Luz e escuridão</w:t>
      </w:r>
    </w:p>
    <w:p>
      <w:r/>
      <w: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t>Imaginação bíblica — Metáforas estendidas</w:t>
      </w:r>
      <w:r>
        <w:t>)</w:t>
      </w:r>
    </w:p>
    <w:p>
      <w:pPr>
        <w:pStyle w:val="Heading4"/>
      </w:pPr>
      <w:r>
        <w:t>Questões textuais principais no livro de 1 João</w:t>
      </w:r>
    </w:p>
    <w:p>
      <w:r/>
      <w: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t>Variações textuais</w:t>
      </w:r>
      <w:r>
        <w:t>)</w:t>
      </w:r>
      <w:r/>
      <w:r/>
    </w:p>
    <w:p>
      <w:r/>
    </w:p>
    <w:p>
      <w:pPr>
        <w:pStyle w:val="Heading2"/>
      </w:pPr>
      <w:r>
        <w:t>1 João - Introdução ao capítulo 1</w:t>
      </w:r>
      <w:r/>
    </w:p>
    <w:p>
      <w:pPr>
        <w:pStyle w:val="Heading3"/>
      </w:pPr>
      <w:r>
        <w:t>Estrutura e formatação</w:t>
      </w:r>
    </w:p>
    <w:p>
      <w:pPr>
        <w:pStyle w:val="ListNumber"/>
        <w:spacing w:line="240" w:lineRule="auto"/>
        <w:ind w:left="720"/>
      </w:pPr>
      <w:r/>
      <w:r>
        <w:t>Abertura da carta (1.1–4)</w:t>
      </w:r>
    </w:p>
    <w:p>
      <w:pPr>
        <w:pStyle w:val="ListNumber"/>
        <w:spacing w:line="240" w:lineRule="auto"/>
        <w:ind w:left="720"/>
      </w:pPr>
      <w:r/>
      <w:r>
        <w:t>Crentes genuínos obedecem a Deus e amam uns aos outros (1.5–10, continua até 2.17)</w:t>
      </w:r>
    </w:p>
    <w:p>
      <w:pPr>
        <w:pStyle w:val="Heading3"/>
      </w:pPr>
      <w:r>
        <w:t>Questões importantes de tradução nesse capítulo</w:t>
      </w:r>
    </w:p>
    <w:p>
      <w:pPr>
        <w:pStyle w:val="Heading4"/>
      </w:pPr>
      <w:r>
        <w:t>A Palavra da vida</w:t>
      </w:r>
    </w:p>
    <w:p>
      <w:r/>
      <w:r>
        <w:t xml:space="preserve">João usa a frase “a Palavra da vida” para se referir a Jesus em </w:t>
      </w:r>
      <w:hyperlink r:id="rId19">
        <w:r>
          <w:rPr>
            <w:color w:val="0000EE"/>
            <w:u w:val="single"/>
          </w:rPr>
          <w:t>1.1</w:t>
        </w:r>
      </w:hyperlink>
      <w: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t>Palavra de Deus</w:t>
      </w:r>
      <w:r>
        <w:t>)</w:t>
      </w:r>
    </w:p>
    <w:p>
      <w:pPr>
        <w:pStyle w:val="Heading4"/>
      </w:pPr>
      <w:r>
        <w:t>Ordem das informações</w:t>
      </w:r>
    </w:p>
    <w:p>
      <w:r/>
      <w:r>
        <w:t xml:space="preserve">Como muitas composições gregas dessa época, por motivos estilísticos, esta carta começa com uma frase muito longa. Vai desde o início de </w:t>
      </w:r>
      <w:hyperlink r:id="rId19">
        <w:r>
          <w:rPr>
            <w:color w:val="0000EE"/>
            <w:u w:val="single"/>
          </w:rPr>
          <w:t>1.1</w:t>
        </w:r>
      </w:hyperlink>
      <w:r>
        <w:t xml:space="preserve"> até o meio de </w:t>
      </w:r>
      <w:hyperlink r:id="rId20">
        <w:r>
          <w:rPr>
            <w:color w:val="0000EE"/>
            <w:u w:val="single"/>
          </w:rPr>
          <w:t>1.3</w:t>
        </w:r>
      </w:hyperlink>
      <w: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r/>
      <w: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r/>
      <w: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r/>
      <w: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r/>
      <w: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hyperlink r:id="rId19">
        <w:r>
          <w:rPr>
            <w:color w:val="0000EE"/>
            <w:u w:val="single"/>
          </w:rPr>
          <w:t>1.1</w:t>
        </w:r>
      </w:hyperlink>
      <w:r>
        <w:t xml:space="preserve"> e apresentá-la como uma introdução temática à carta. Caso contrário, seus leitores podem não perceber que se trata de uma carta até chegarem a </w:t>
      </w:r>
      <w:hyperlink r:id="rId21">
        <w:r>
          <w:rPr>
            <w:color w:val="0000EE"/>
            <w:u w:val="single"/>
          </w:rPr>
          <w:t>1.4</w:t>
        </w:r>
      </w:hyperlink>
      <w:r>
        <w:t>, onde João declara formalmente seu propósito ao escrever. Um exemplo de 1 João 1.1–3 nesta ordem seria:</w:t>
      </w:r>
    </w:p>
    <w:p>
      <w:r/>
      <w: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r/>
      <w:r>
        <w:t xml:space="preserve">As notas para </w:t>
      </w:r>
      <w:hyperlink r:id="rId22">
        <w:r>
          <w:rPr>
            <w:color w:val="0000EE"/>
            <w:u w:val="single"/>
          </w:rPr>
          <w:t>1.1–4</w:t>
        </w:r>
      </w:hyperlink>
      <w:r>
        <w:t xml:space="preserve"> oferecem sugestões específicas adicionais sobre como traduzir esta longa frase de abertura. (Veja: </w:t>
      </w:r>
      <w:r>
        <w:t>Versículos-Ponte</w:t>
      </w:r>
      <w:r>
        <w:t>)</w:t>
      </w:r>
    </w:p>
    <w:p>
      <w:pPr>
        <w:pStyle w:val="Heading3"/>
      </w:pPr>
      <w:r>
        <w:t>Questões textuais importantes nesse capítulo</w:t>
      </w:r>
    </w:p>
    <w:p>
      <w:r/>
      <w:r>
        <w:t xml:space="preserve">Em </w:t>
      </w:r>
      <w:hyperlink r:id="rId21">
        <w:r>
          <w:rPr>
            <w:color w:val="0000EE"/>
            <w:u w:val="single"/>
          </w:rPr>
          <w:t>1.4</w:t>
        </w:r>
      </w:hyperlink>
      <w: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t>Variantes textuais</w:t>
      </w:r>
      <w:r>
        <w:t>)</w:t>
      </w:r>
      <w:r/>
      <w:r/>
    </w:p>
    <w:p>
      <w:r/>
    </w:p>
    <w:p>
      <w:pPr>
        <w:pStyle w:val="Heading2"/>
      </w:pPr>
      <w:r>
        <w:t>1 João - Introdução ao capítulo 2</w:t>
      </w:r>
      <w:r/>
    </w:p>
    <w:p>
      <w:pPr>
        <w:pStyle w:val="Heading3"/>
      </w:pPr>
      <w:r>
        <w:t>Estrutura e formatação</w:t>
      </w:r>
    </w:p>
    <w:p>
      <w:pPr>
        <w:pStyle w:val="ListNumber"/>
        <w:spacing w:line="240" w:lineRule="auto"/>
        <w:ind w:left="720"/>
      </w:pPr>
      <w:r/>
      <w:r>
        <w:t>Os verdadeiros crentes obedecem a Deus e amam uns aos outros (2.1–17, continuando de 1.5)</w:t>
      </w:r>
    </w:p>
    <w:p>
      <w:pPr>
        <w:pStyle w:val="ListNumber"/>
        <w:spacing w:line="240" w:lineRule="auto"/>
        <w:ind w:left="720"/>
      </w:pPr>
      <w:r/>
      <w:r>
        <w:t>É um falso ensino negar que Jesus é o Messias (2.18–2.27)</w:t>
      </w:r>
    </w:p>
    <w:p>
      <w:pPr>
        <w:pStyle w:val="ListNumber"/>
        <w:spacing w:line="240" w:lineRule="auto"/>
        <w:ind w:left="720"/>
      </w:pPr>
      <w:r/>
      <w:r>
        <w:t>Os verdadeiros filhos de Deus não pecam (2.28–29, continua até 3.10)</w:t>
      </w:r>
    </w:p>
    <w:p>
      <w:r/>
      <w:r>
        <w:t xml:space="preserve">Para mostrar que João está escrevendo algo semelhante à poesia em </w:t>
      </w:r>
      <w:hyperlink r:id="rId23">
        <w:r>
          <w:rPr>
            <w:color w:val="0000EE"/>
            <w:u w:val="single"/>
          </w:rPr>
          <w:t>2.12–14</w:t>
        </w:r>
      </w:hyperlink>
      <w:r>
        <w:t>, algumas traduções posicionam as declarações desses versículos mais à direita do que o restante do texto, e elas começam uma nova linha no início de cada declaração.</w:t>
      </w:r>
    </w:p>
    <w:p>
      <w:pPr>
        <w:pStyle w:val="Heading3"/>
      </w:pPr>
      <w:r>
        <w:t>Conceitos especiais nesse capítulo</w:t>
      </w:r>
    </w:p>
    <w:p>
      <w:pPr>
        <w:pStyle w:val="Heading4"/>
      </w:pPr>
      <w:r>
        <w:t>Anticristo</w:t>
      </w:r>
    </w:p>
    <w:p>
      <w:r/>
      <w:r>
        <w:t xml:space="preserve">Em </w:t>
      </w:r>
      <w:hyperlink r:id="rId24">
        <w:r>
          <w:rPr>
            <w:color w:val="0000EE"/>
            <w:u w:val="single"/>
          </w:rPr>
          <w:t>2.18</w:t>
        </w:r>
      </w:hyperlink>
      <w:r>
        <w:t xml:space="preserve"> e </w:t>
      </w:r>
      <w:hyperlink r:id="rId25">
        <w:r>
          <w:rPr>
            <w:color w:val="0000EE"/>
            <w:u w:val="single"/>
          </w:rPr>
          <w:t>2.22</w:t>
        </w:r>
      </w:hyperlink>
      <w: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t>Anticristo</w:t>
      </w:r>
      <w:r>
        <w:t xml:space="preserve"> e </w:t>
      </w:r>
      <w:r>
        <w:t>Último dia</w:t>
      </w:r>
      <w:r>
        <w:t xml:space="preserve"> e </w:t>
      </w:r>
      <w:r>
        <w:t>Mal</w:t>
      </w:r>
      <w:r>
        <w:t>)</w:t>
      </w:r>
    </w:p>
    <w:p>
      <w:pPr>
        <w:pStyle w:val="Heading3"/>
      </w:pPr>
      <w:r>
        <w:t>Questões textuais importantes nesse capítulo</w:t>
      </w:r>
    </w:p>
    <w:p>
      <w:r/>
      <w:r>
        <w:t xml:space="preserve">Em </w:t>
      </w:r>
      <w:hyperlink r:id="rId26">
        <w:r>
          <w:rPr>
            <w:color w:val="0000EE"/>
            <w:u w:val="single"/>
          </w:rPr>
          <w:t>2.20</w:t>
        </w:r>
      </w:hyperlink>
      <w: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t>Variantes Textuais</w:t>
      </w:r>
      <w:r>
        <w:t>)</w:t>
      </w:r>
      <w:r/>
      <w:r/>
    </w:p>
    <w:p>
      <w:r/>
    </w:p>
    <w:p>
      <w:pPr>
        <w:pStyle w:val="Heading2"/>
      </w:pPr>
      <w:r>
        <w:t>1 João - Introdução ao capítulo 3</w:t>
      </w:r>
      <w:r/>
    </w:p>
    <w:p>
      <w:pPr>
        <w:pStyle w:val="Heading3"/>
      </w:pPr>
      <w:r>
        <w:t>Estrutura e formatação</w:t>
      </w:r>
    </w:p>
    <w:p>
      <w:pPr>
        <w:pStyle w:val="ListNumber"/>
        <w:spacing w:line="240" w:lineRule="auto"/>
        <w:ind w:left="720"/>
      </w:pPr>
      <w:r/>
      <w:r>
        <w:t>Os verdadeiros filhos de Deus não pecam (3.1–10, continuando de 2.28)</w:t>
      </w:r>
    </w:p>
    <w:p>
      <w:pPr>
        <w:pStyle w:val="ListNumber"/>
        <w:spacing w:line="240" w:lineRule="auto"/>
        <w:ind w:left="720"/>
      </w:pPr>
      <w:r/>
      <w:r>
        <w:t>Crentes genuínos ajudam uns aos outros de forma sacrificial (3.11–18)</w:t>
      </w:r>
    </w:p>
    <w:p>
      <w:pPr>
        <w:pStyle w:val="ListNumber"/>
        <w:spacing w:line="240" w:lineRule="auto"/>
        <w:ind w:left="720"/>
      </w:pPr>
      <w:r/>
      <w:r>
        <w:t>Os verdadeiros crentes têm confiança na oração (3.19–24)</w:t>
      </w:r>
    </w:p>
    <w:p>
      <w:pPr>
        <w:pStyle w:val="Heading3"/>
      </w:pPr>
      <w:r>
        <w:t>Conceitos especiais nesse capítulo</w:t>
      </w:r>
    </w:p>
    <w:p>
      <w:pPr>
        <w:pStyle w:val="Heading4"/>
      </w:pPr>
      <w:r>
        <w:t>"Filhos de Deus"</w:t>
      </w:r>
    </w:p>
    <w:p>
      <w:r/>
      <w: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t>Acreditar</w:t>
      </w:r>
      <w:r>
        <w:t>)</w:t>
      </w:r>
    </w:p>
    <w:p>
      <w:pPr>
        <w:pStyle w:val="Heading3"/>
      </w:pPr>
      <w:r>
        <w:t>Outras possíveis dificuldades de tradução nesse capítulo</w:t>
      </w:r>
    </w:p>
    <w:p>
      <w:pPr>
        <w:pStyle w:val="Heading4"/>
      </w:pPr>
      <w:r>
        <w:t>“Aquele que guarda os seus mandamentos permanece nele, e ele nele” (3.24)</w:t>
      </w:r>
    </w:p>
    <w:p>
      <w:r/>
      <w:r>
        <w:t xml:space="preserve">Isso não significa que manter nossa salvação dependa de realizar certas obras. Em vez disso, João está descrevendo os resultados de guardar os mandamentos que ele menciona em </w:t>
      </w:r>
      <w:hyperlink r:id="rId27">
        <w:r>
          <w:rPr>
            <w:color w:val="0000EE"/>
            <w:u w:val="single"/>
          </w:rPr>
          <w:t>3.32</w:t>
        </w:r>
      </w:hyperlink>
      <w: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t>Eternidade</w:t>
      </w:r>
      <w:r>
        <w:t xml:space="preserve"> e </w:t>
      </w:r>
      <w:r>
        <w:t>Salvar</w:t>
      </w:r>
      <w:r>
        <w:t>)</w:t>
      </w:r>
    </w:p>
    <w:p>
      <w:pPr>
        <w:pStyle w:val="Heading3"/>
      </w:pPr>
      <w:r>
        <w:t>Questões textuais importantes nesse capítulo</w:t>
      </w:r>
    </w:p>
    <w:p>
      <w:r/>
      <w:r>
        <w:t xml:space="preserve">Em </w:t>
      </w:r>
      <w:hyperlink r:id="rId28">
        <w:r>
          <w:rPr>
            <w:color w:val="0000EE"/>
            <w:u w:val="single"/>
          </w:rPr>
          <w:t>3.1</w:t>
        </w:r>
      </w:hyperlink>
      <w: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t>Variantes textuais</w:t>
      </w:r>
      <w:r>
        <w:t>)</w:t>
      </w:r>
      <w:r/>
      <w:r/>
    </w:p>
    <w:p>
      <w:r/>
    </w:p>
    <w:p>
      <w:pPr>
        <w:pStyle w:val="Heading2"/>
      </w:pPr>
      <w:r>
        <w:t>1 João - Introdução ao capítulo 4</w:t>
      </w:r>
      <w:r/>
    </w:p>
    <w:p>
      <w:pPr>
        <w:pStyle w:val="Heading3"/>
      </w:pPr>
      <w:r>
        <w:t>Estrutura e formatação</w:t>
      </w:r>
    </w:p>
    <w:p>
      <w:pPr>
        <w:pStyle w:val="ListNumber"/>
        <w:spacing w:line="240" w:lineRule="auto"/>
        <w:ind w:left="720"/>
      </w:pPr>
      <w:r/>
      <w:r>
        <w:t>É um falso ensino negar que Jesus se tornou humano (4.1–6)</w:t>
      </w:r>
    </w:p>
    <w:p>
      <w:pPr>
        <w:pStyle w:val="ListNumber"/>
        <w:spacing w:line="240" w:lineRule="auto"/>
        <w:ind w:left="720"/>
      </w:pPr>
      <w:r/>
      <w:r>
        <w:t>Os verdadeiros crentes amam uns aos outros como Deus os amou (4.7–21)</w:t>
      </w:r>
    </w:p>
    <w:p>
      <w:pPr>
        <w:pStyle w:val="Heading3"/>
      </w:pPr>
      <w:r>
        <w:t>Conceitos especiais neste capítulo</w:t>
      </w:r>
    </w:p>
    <w:p>
      <w:pPr>
        <w:pStyle w:val="Heading4"/>
      </w:pPr>
      <w:r>
        <w:t>“Espírito” e “espírito”</w:t>
      </w:r>
    </w:p>
    <w:p>
      <w:r/>
      <w: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t>Outras possíveis dificuldades de tradução neste capítulo</w:t>
      </w:r>
    </w:p>
    <w:p>
      <w:pPr>
        <w:pStyle w:val="Heading4"/>
      </w:pPr>
      <w:r>
        <w:t>Amando a Deus</w:t>
      </w:r>
    </w:p>
    <w:p>
      <w:r/>
      <w: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t>Salvar</w:t>
      </w:r>
      <w:r>
        <w:t>)</w:t>
      </w:r>
    </w:p>
    <w:p>
      <w:pPr>
        <w:pStyle w:val="Heading3"/>
      </w:pPr>
      <w:r>
        <w:t>Questões textuais importantes neste capítulo</w:t>
      </w:r>
    </w:p>
    <w:p>
      <w:r/>
      <w:r>
        <w:t xml:space="preserve">Em </w:t>
      </w:r>
      <w:hyperlink r:id="rId29">
        <w:r>
          <w:rPr>
            <w:color w:val="0000EE"/>
            <w:u w:val="single"/>
          </w:rPr>
          <w:t>4.3</w:t>
        </w:r>
      </w:hyperlink>
      <w: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t>Variantes textuais</w:t>
      </w:r>
      <w:r>
        <w:t>)</w:t>
      </w:r>
      <w:r/>
      <w:r/>
    </w:p>
    <w:p>
      <w:r/>
    </w:p>
    <w:p>
      <w:pPr>
        <w:pStyle w:val="Heading2"/>
      </w:pPr>
      <w:r>
        <w:t>1 João - Introdução ao capítulo 5</w:t>
      </w:r>
      <w:r/>
    </w:p>
    <w:p>
      <w:pPr>
        <w:pStyle w:val="Heading3"/>
      </w:pPr>
      <w:r>
        <w:t>Estrutura e formatação</w:t>
      </w:r>
    </w:p>
    <w:p>
      <w:pPr>
        <w:pStyle w:val="ListNumber"/>
        <w:spacing w:line="240" w:lineRule="auto"/>
        <w:ind w:left="720"/>
      </w:pPr>
      <w:r/>
      <w:r>
        <w:t>Negar que Jesus é o Filho de Deus é um falso ensino (5.1–12)</w:t>
      </w:r>
    </w:p>
    <w:p>
      <w:pPr>
        <w:pStyle w:val="ListNumber"/>
        <w:spacing w:line="240" w:lineRule="auto"/>
        <w:ind w:left="720"/>
      </w:pPr>
      <w:r/>
      <w:r>
        <w:t>Fechamento da Carta (5.13–21)</w:t>
      </w:r>
    </w:p>
    <w:p>
      <w:pPr>
        <w:pStyle w:val="Heading3"/>
      </w:pPr>
      <w:r>
        <w:t>Possíveis dificuldades de tradução neste capítulo</w:t>
      </w:r>
    </w:p>
    <w:p>
      <w:pPr>
        <w:pStyle w:val="Heading4"/>
      </w:pPr>
      <w:r>
        <w:t>“um pecado que leva à morte”</w:t>
      </w:r>
    </w:p>
    <w:p>
      <w:r/>
      <w:r>
        <w:t xml:space="preserve">Não está totalmente claro o que João quer dizer com esta frase. A palavra “morte” pode se referir tanto à morte física quanto à morte espiritual, que é a separação eterna de Deus. Veja a discussão adicional nas notas de </w:t>
      </w:r>
      <w:hyperlink r:id="rId30">
        <w:r>
          <w:rPr>
            <w:color w:val="0000EE"/>
            <w:u w:val="single"/>
          </w:rPr>
          <w:t>5.16</w:t>
        </w:r>
      </w:hyperlink>
      <w:r>
        <w:t xml:space="preserve">. (Veja: </w:t>
      </w:r>
      <w:r>
        <w:t>morte</w:t>
      </w:r>
      <w:r>
        <w:t>)</w:t>
      </w:r>
    </w:p>
    <w:p>
      <w:pPr>
        <w:pStyle w:val="Heading4"/>
      </w:pPr>
      <w:r>
        <w:t>“o mundo inteiro está sob o poder do maligno”</w:t>
      </w:r>
    </w:p>
    <w:p>
      <w:r/>
      <w:r>
        <w:t xml:space="preserve">A expressão “o maligno” refere-se a Satanás. Deus permitiu que ele governasse o mundo, mas, em última análise, Deus tem controle sobre tudo. Deus mantém seus filhos seguros do maligno. (Veja: </w:t>
      </w:r>
      <w:r>
        <w:t>Satanás</w:t>
      </w:r>
      <w:r>
        <w:t>)</w:t>
      </w:r>
    </w:p>
    <w:p>
      <w:pPr>
        <w:pStyle w:val="Heading3"/>
      </w:pPr>
      <w:r>
        <w:t>Questões textuais importantes neste capítulo</w:t>
      </w:r>
    </w:p>
    <w:p>
      <w:r/>
      <w:r>
        <w:t xml:space="preserve">Em </w:t>
      </w:r>
      <w:hyperlink r:id="rId31">
        <w:r>
          <w:rPr>
            <w:color w:val="0000EE"/>
            <w:u w:val="single"/>
          </w:rPr>
          <w:t>5.7–8</w:t>
        </w:r>
      </w:hyperlink>
      <w: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t>Variantes textuais</w:t>
      </w:r>
      <w:r>
        <w:t>)</w:t>
      </w:r>
    </w:p>
    <w:p>
      <w:r/>
      <w:r>
        <w:t xml:space="preserve">Em </w:t>
      </w:r>
      <w:hyperlink r:id="rId32">
        <w:r>
          <w:rPr>
            <w:color w:val="0000EE"/>
            <w:u w:val="single"/>
          </w:rPr>
          <w:t>5.18</w:t>
        </w:r>
      </w:hyperlink>
      <w: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2:6" TargetMode="External"/><Relationship Id="rId16" Type="http://schemas.openxmlformats.org/officeDocument/2006/relationships/hyperlink" Target="https://ref.ly/1John2:14" TargetMode="External"/><Relationship Id="rId17" Type="http://schemas.openxmlformats.org/officeDocument/2006/relationships/hyperlink" Target="https://ref.ly/1John5:10" TargetMode="External"/><Relationship Id="rId18" Type="http://schemas.openxmlformats.org/officeDocument/2006/relationships/hyperlink" Target="https://ref.ly/1John1:2" TargetMode="External"/><Relationship Id="rId19" Type="http://schemas.openxmlformats.org/officeDocument/2006/relationships/hyperlink" Target="https://ref.ly/1John1:1" TargetMode="External"/><Relationship Id="rId20" Type="http://schemas.openxmlformats.org/officeDocument/2006/relationships/hyperlink" Target="https://ref.ly/1John1:3" TargetMode="External"/><Relationship Id="rId21" Type="http://schemas.openxmlformats.org/officeDocument/2006/relationships/hyperlink" Target="https://ref.ly/1John1:4" TargetMode="External"/><Relationship Id="rId22" Type="http://schemas.openxmlformats.org/officeDocument/2006/relationships/hyperlink" Target="https://ref.ly/1John1:1-1John1:4" TargetMode="External"/><Relationship Id="rId23" Type="http://schemas.openxmlformats.org/officeDocument/2006/relationships/hyperlink" Target="https://ref.ly/1John2:12-1John2:14" TargetMode="External"/><Relationship Id="rId24" Type="http://schemas.openxmlformats.org/officeDocument/2006/relationships/hyperlink" Target="https://ref.ly/1John2:18" TargetMode="External"/><Relationship Id="rId25" Type="http://schemas.openxmlformats.org/officeDocument/2006/relationships/hyperlink" Target="https://ref.ly/1John2:22" TargetMode="External"/><Relationship Id="rId26" Type="http://schemas.openxmlformats.org/officeDocument/2006/relationships/hyperlink" Target="https://ref.ly/1John2:20" TargetMode="External"/><Relationship Id="rId27" Type="http://schemas.openxmlformats.org/officeDocument/2006/relationships/hyperlink" Target="https://ref.ly/1John3:32" TargetMode="External"/><Relationship Id="rId28" Type="http://schemas.openxmlformats.org/officeDocument/2006/relationships/hyperlink" Target="https://ref.ly/1John3:1" TargetMode="External"/><Relationship Id="rId29" Type="http://schemas.openxmlformats.org/officeDocument/2006/relationships/hyperlink" Target="https://ref.ly/1John4:3" TargetMode="External"/><Relationship Id="rId30" Type="http://schemas.openxmlformats.org/officeDocument/2006/relationships/hyperlink" Target="https://ref.ly/1John5:16" TargetMode="External"/><Relationship Id="rId31" Type="http://schemas.openxmlformats.org/officeDocument/2006/relationships/hyperlink" Target="https://ref.ly/1John5:7-1John5:8" TargetMode="External"/><Relationship Id="rId32" Type="http://schemas.openxmlformats.org/officeDocument/2006/relationships/hyperlink" Target="https://ref.ly/1John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