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hyperlink r:id="rId13">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hyperlink r:id="rId14">
        <w:r>
          <w:rPr>
            <w:lang w:val="pt_PT" w:bidi="pt_PT"/>
          </w:rPr>
          <w:rPr>
            <w:color w:val="0000EE"/>
            <w:u w:val="single"/>
          </w:rPr>
          <w:t>1.3,4</w:t>
        </w:r>
      </w:hyperlink>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hyperlink r:id="rId15">
        <w:r>
          <w:rPr>
            <w:lang w:val="pt_PT" w:bidi="pt_PT"/>
          </w:rPr>
          <w:rPr>
            <w:color w:val="0000EE"/>
            <w:u w:val="single"/>
          </w:rPr>
          <w:t>1.7</w:t>
        </w:r>
      </w:hyperlink>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hyperlink r:id="rId16">
        <w:r>
          <w:rPr>
            <w:lang w:val="pt_PT" w:bidi="pt_PT"/>
          </w:rPr>
          <w:rPr>
            <w:color w:val="0000EE"/>
            <w:u w:val="single"/>
          </w:rPr>
          <w:t>1.8</w:t>
        </w:r>
      </w:hyperlink>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hyperlink r:id="rId17">
        <w:r>
          <w:rPr>
            <w:lang w:val="pt_PT" w:bidi="pt_PT"/>
          </w:rPr>
          <w:rPr>
            <w:color w:val="0000EE"/>
            <w:u w:val="single"/>
          </w:rPr>
          <w:t>1.15</w:t>
        </w:r>
      </w:hyperlink>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hyperlink r:id="rId18">
        <w:r>
          <w:rPr>
            <w:lang w:val="pt_PT" w:bidi="pt_PT"/>
          </w:rPr>
          <w:rPr>
            <w:color w:val="0000EE"/>
            <w:u w:val="single"/>
          </w:rPr>
          <w:t>Romanos 16.27</w:t>
        </w:r>
      </w:hyperlink>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hyperlink r:id="rId19">
        <w:r>
          <w:rPr>
            <w:lang w:val="pt_PT" w:bidi="pt_PT"/>
          </w:rPr>
          <w:rPr>
            <w:color w:val="0000EE"/>
            <w:u w:val="single"/>
          </w:rPr>
          <w:t>1.3–5</w:t>
        </w:r>
      </w:hyperlink>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hyperlink r:id="rId20">
        <w:r>
          <w:rPr>
            <w:lang w:val="pt_PT" w:bidi="pt_PT"/>
          </w:rPr>
          <w:rPr>
            <w:color w:val="0000EE"/>
            <w:u w:val="single"/>
          </w:rPr>
          <w:t>1.2</w:t>
        </w:r>
      </w:hyperlink>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hyperlink r:id="rId21">
        <w:r>
          <w:rPr>
            <w:lang w:val="pt_PT" w:bidi="pt_PT"/>
          </w:rPr>
          <w:rPr>
            <w:color w:val="0000EE"/>
            <w:u w:val="single"/>
          </w:rPr>
          <w:t>1.5</w:t>
        </w:r>
      </w:hyperlink>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hyperlink r:id="rId22">
        <w:r>
          <w:rPr>
            <w:lang w:val="pt_PT" w:bidi="pt_PT"/>
          </w:rPr>
          <w:rPr>
            <w:color w:val="0000EE"/>
            <w:u w:val="single"/>
          </w:rPr>
          <w:t>2.1,2</w:t>
        </w:r>
      </w:hyperlink>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hyperlink r:id="rId23">
        <w:r>
          <w:rPr>
            <w:lang w:val="pt_PT" w:bidi="pt_PT"/>
          </w:rPr>
          <w:rPr>
            <w:color w:val="0000EE"/>
            <w:u w:val="single"/>
          </w:rPr>
          <w:t>2.3</w:t>
        </w:r>
      </w:hyperlink>
      <w:r>
        <w:rPr>
          <w:lang w:val="pt_PT" w:bidi="pt_PT"/>
        </w:rPr>
        <w:t xml:space="preserve">). Tradução alternativa: “aquele que” (2) uma razão pela qual orar por todas as pessoas é “bom e aceitável” para Deus (veja </w:t>
      </w:r>
      <w:hyperlink r:id="rId23">
        <w:r>
          <w:rPr>
            <w:lang w:val="pt_PT" w:bidi="pt_PT"/>
          </w:rPr>
          <w:rPr>
            <w:color w:val="0000EE"/>
            <w:u w:val="single"/>
          </w:rPr>
          <w:t>2.3</w:t>
        </w:r>
      </w:hyperlink>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hyperlink r:id="rId24">
        <w:r>
          <w:rPr>
            <w:lang w:val="pt_PT" w:bidi="pt_PT"/>
          </w:rPr>
          <w:rPr>
            <w:color w:val="0000EE"/>
            <w:u w:val="single"/>
          </w:rPr>
          <w:t>2.1–7</w:t>
        </w:r>
      </w:hyperlink>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hyperlink r:id="rId25">
        <w:r>
          <w:rPr>
            <w:lang w:val="pt_PT" w:bidi="pt_PT"/>
          </w:rPr>
          <w:rPr>
            <w:color w:val="0000EE"/>
            <w:u w:val="single"/>
          </w:rPr>
          <w:t>2.2</w:t>
        </w:r>
      </w:hyperlink>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hyperlink r:id="rId26">
        <w:r>
          <w:rPr>
            <w:lang w:val="pt_PT" w:bidi="pt_PT"/>
          </w:rPr>
          <w:rPr>
            <w:color w:val="0000EE"/>
            <w:u w:val="single"/>
          </w:rPr>
          <w:t>2.11</w:t>
        </w:r>
      </w:hyperlink>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hyperlink r:id="rId27">
        <w:r>
          <w:rPr>
            <w:lang w:val="pt_PT" w:bidi="pt_PT"/>
          </w:rPr>
          <w:rPr>
            <w:color w:val="0000EE"/>
            <w:u w:val="single"/>
          </w:rPr>
          <w:t>2.9,10</w:t>
        </w:r>
      </w:hyperlink>
      <w:r>
        <w:rPr>
          <w:lang w:val="pt_PT" w:bidi="pt_PT"/>
        </w:rPr>
        <w:t xml:space="preserve"> para o singular “mulher” em </w:t>
      </w:r>
      <w:hyperlink r:id="rId26">
        <w:r>
          <w:rPr>
            <w:lang w:val="pt_PT" w:bidi="pt_PT"/>
          </w:rPr>
          <w:rPr>
            <w:color w:val="0000EE"/>
            <w:u w:val="single"/>
          </w:rPr>
          <w:t>2.11</w:t>
        </w:r>
      </w:hyperlink>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hyperlink r:id="rId26">
        <w:r>
          <w:rPr>
            <w:lang w:val="pt_PT" w:bidi="pt_PT"/>
          </w:rPr>
          <w:rPr>
            <w:color w:val="0000EE"/>
            <w:u w:val="single"/>
          </w:rPr>
          <w:t>2.11</w:t>
        </w:r>
      </w:hyperlink>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hyperlink r:id="rId25">
        <w:r>
          <w:rPr>
            <w:lang w:val="pt_PT" w:bidi="pt_PT"/>
          </w:rPr>
          <w:rPr>
            <w:color w:val="0000EE"/>
            <w:u w:val="single"/>
          </w:rPr>
          <w:t>2.2</w:t>
        </w:r>
      </w:hyperlink>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hyperlink r:id="rId28">
        <w:r>
          <w:rPr>
            <w:lang w:val="pt_PT" w:bidi="pt_PT"/>
          </w:rPr>
          <w:rPr>
            <w:color w:val="0000EE"/>
            <w:u w:val="single"/>
          </w:rPr>
          <w:t>Gênesis 2.5 – 25</w:t>
        </w:r>
      </w:hyperlink>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hyperlink r:id="rId29">
        <w:r>
          <w:rPr>
            <w:lang w:val="pt_PT" w:bidi="pt_PT"/>
          </w:rPr>
          <w:rPr>
            <w:color w:val="0000EE"/>
            <w:u w:val="single"/>
          </w:rPr>
          <w:t>Gênesis 3.1–7</w:t>
        </w:r>
      </w:hyperlink>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hyperlink r:id="rId17">
        <w:r>
          <w:rPr>
            <w:lang w:val="pt_PT" w:bidi="pt_PT"/>
          </w:rPr>
          <w:rPr>
            <w:color w:val="0000EE"/>
            <w:u w:val="single"/>
          </w:rPr>
          <w:t>1.15</w:t>
        </w:r>
      </w:hyperlink>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hyperlink r:id="rId21">
        <w:r>
          <w:rPr>
            <w:lang w:val="pt_PT" w:bidi="pt_PT"/>
          </w:rPr>
          <w:rPr>
            <w:color w:val="0000EE"/>
            <w:u w:val="single"/>
          </w:rPr>
          <w:t>1.5</w:t>
        </w:r>
      </w:hyperlink>
      <w:r>
        <w:rPr>
          <w:lang w:val="pt_PT" w:bidi="pt_PT"/>
        </w:rPr>
        <w:t xml:space="preserve"> e </w:t>
      </w:r>
      <w:hyperlink r:id="rId30">
        <w:r>
          <w:rPr>
            <w:lang w:val="pt_PT" w:bidi="pt_PT"/>
          </w:rPr>
          <w:rPr>
            <w:color w:val="0000EE"/>
            <w:u w:val="single"/>
          </w:rPr>
          <w:t>1.19</w:t>
        </w:r>
      </w:hyperlink>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hyperlink r:id="rId31">
        <w:r>
          <w:rPr>
            <w:lang w:val="pt_PT" w:bidi="pt_PT"/>
          </w:rPr>
          <w:rPr>
            <w:color w:val="0000EE"/>
            <w:u w:val="single"/>
          </w:rPr>
          <w:t>3.2</w:t>
        </w:r>
      </w:hyperlink>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hyperlink r:id="rId32">
        <w:r>
          <w:rPr>
            <w:lang w:val="pt_PT" w:bidi="pt_PT"/>
          </w:rPr>
          <w:rPr>
            <w:color w:val="0000EE"/>
            <w:u w:val="single"/>
          </w:rPr>
          <w:t>3.8–12</w:t>
        </w:r>
      </w:hyperlink>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hyperlink r:id="rId32">
        <w:r>
          <w:rPr>
            <w:lang w:val="pt_PT" w:bidi="pt_PT"/>
          </w:rPr>
          <w:rPr>
            <w:color w:val="0000EE"/>
            <w:u w:val="single"/>
          </w:rPr>
          <w:t>3.8–12</w:t>
        </w:r>
      </w:hyperlink>
      <w:r>
        <w:rPr>
          <w:lang w:val="pt_PT" w:bidi="pt_PT"/>
        </w:rPr>
        <w:t xml:space="preserve">. Tradução alternativa: “os diáconos que serviram” (2) tanto aos diáconos quanto aos bispos, sobre os quais ele discutiu em </w:t>
      </w:r>
      <w:hyperlink r:id="rId33">
        <w:r>
          <w:rPr>
            <w:lang w:val="pt_PT" w:bidi="pt_PT"/>
          </w:rPr>
          <w:rPr>
            <w:color w:val="0000EE"/>
            <w:u w:val="single"/>
          </w:rPr>
          <w:t>3.1–12</w:t>
        </w:r>
      </w:hyperlink>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hyperlink r:id="rId34">
        <w:r>
          <w:rPr>
            <w:lang w:val="pt_PT" w:bidi="pt_PT"/>
          </w:rPr>
          <w:rPr>
            <w:color w:val="0000EE"/>
            <w:u w:val="single"/>
          </w:rPr>
          <w:t>4.4</w:t>
        </w:r>
      </w:hyperlink>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hyperlink r:id="rId35">
        <w:r>
          <w:rPr>
            <w:lang w:val="pt_PT" w:bidi="pt_PT"/>
          </w:rPr>
          <w:rPr>
            <w:color w:val="0000EE"/>
            <w:u w:val="single"/>
          </w:rPr>
          <w:t>4.1–5</w:t>
        </w:r>
      </w:hyperlink>
      <w:r>
        <w:rPr>
          <w:lang w:val="pt_PT" w:bidi="pt_PT"/>
        </w:rPr>
        <w:t xml:space="preserve">, </w:t>
      </w:r>
      <w:hyperlink r:id="rId36">
        <w:r>
          <w:rPr>
            <w:lang w:val="pt_PT" w:bidi="pt_PT"/>
          </w:rPr>
          <w:rPr>
            <w:color w:val="0000EE"/>
            <w:u w:val="single"/>
          </w:rPr>
          <w:t>3.14–4.5</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hyperlink r:id="rId37">
        <w:r>
          <w:rPr>
            <w:lang w:val="pt_PT" w:bidi="pt_PT"/>
          </w:rPr>
          <w:rPr>
            <w:color w:val="0000EE"/>
            <w:u w:val="single"/>
          </w:rPr>
          <w:t>4.6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hyperlink r:id="rId38">
        <w:r>
          <w:rPr>
            <w:lang w:val="pt_PT" w:bidi="pt_PT"/>
          </w:rPr>
          <w:rPr>
            <w:color w:val="0000EE"/>
            <w:u w:val="single"/>
          </w:rPr>
          <w:t>1.4</w:t>
        </w:r>
      </w:hyperlink>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hyperlink r:id="rId17">
        <w:r>
          <w:rPr>
            <w:lang w:val="pt_PT" w:bidi="pt_PT"/>
          </w:rPr>
          <w:rPr>
            <w:color w:val="0000EE"/>
            <w:u w:val="single"/>
          </w:rPr>
          <w:t>1.15</w:t>
        </w:r>
      </w:hyperlink>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hyperlink r:id="rId39">
        <w:r>
          <w:rPr>
            <w:lang w:val="pt_PT" w:bidi="pt_PT"/>
          </w:rPr>
          <w:rPr>
            <w:color w:val="0000EE"/>
            <w:u w:val="single"/>
          </w:rPr>
          <w:t>4.10</w:t>
        </w:r>
      </w:hyperlink>
      <w:r>
        <w:rPr>
          <w:lang w:val="pt_PT" w:bidi="pt_PT"/>
        </w:rPr>
        <w:t xml:space="preserve">. Tradução alternativa: “Ao ensinamento seguinte” (2) ao que Paulo escreveu em </w:t>
      </w:r>
      <w:hyperlink r:id="rId40">
        <w:r>
          <w:rPr>
            <w:lang w:val="pt_PT" w:bidi="pt_PT"/>
          </w:rPr>
          <w:rPr>
            <w:color w:val="0000EE"/>
            <w:u w:val="single"/>
          </w:rPr>
          <w:t>4.8</w:t>
        </w:r>
      </w:hyperlink>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hyperlink r:id="rId41">
        <w:r>
          <w:rPr>
            <w:lang w:val="pt_PT" w:bidi="pt_PT"/>
          </w:rPr>
          <w:rPr>
            <w:color w:val="0000EE"/>
            <w:u w:val="single"/>
          </w:rPr>
          <w:t>4.9</w:t>
        </w:r>
      </w:hyperlink>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hyperlink r:id="rId40">
        <w:r>
          <w:rPr>
            <w:lang w:val="pt_PT" w:bidi="pt_PT"/>
          </w:rPr>
          <w:rPr>
            <w:color w:val="0000EE"/>
            <w:u w:val="single"/>
          </w:rPr>
          <w:t>4.8</w:t>
        </w:r>
      </w:hyperlink>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hyperlink r:id="rId42">
        <w:r>
          <w:rPr>
            <w:lang w:val="pt_PT" w:bidi="pt_PT"/>
          </w:rPr>
          <w:rPr>
            <w:color w:val="0000EE"/>
            <w:u w:val="single"/>
          </w:rPr>
          <w:t>3.15</w:t>
        </w:r>
      </w:hyperlink>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hyperlink r:id="rId43">
        <w:r>
          <w:rPr>
            <w:lang w:val="pt_PT" w:bidi="pt_PT"/>
          </w:rPr>
          <w:rPr>
            <w:color w:val="0000EE"/>
            <w:u w:val="single"/>
          </w:rPr>
          <w:t>4.6–10</w:t>
        </w:r>
      </w:hyperlink>
      <w:r>
        <w:rPr>
          <w:lang w:val="pt_PT" w:bidi="pt_PT"/>
        </w:rPr>
        <w:t xml:space="preserve">, </w:t>
      </w:r>
      <w:hyperlink r:id="rId44">
        <w:r>
          <w:rPr>
            <w:lang w:val="pt_PT" w:bidi="pt_PT"/>
          </w:rPr>
          <w:rPr>
            <w:color w:val="0000EE"/>
            <w:u w:val="single"/>
          </w:rPr>
          <w:t>4.1–10</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hyperlink r:id="rId45">
        <w:r>
          <w:rPr>
            <w:lang w:val="pt_PT" w:bidi="pt_PT"/>
          </w:rPr>
          <w:rPr>
            <w:color w:val="0000EE"/>
            <w:u w:val="single"/>
          </w:rPr>
          <w:t>4.11–14</w:t>
        </w:r>
      </w:hyperlink>
      <w:r>
        <w:rPr>
          <w:lang w:val="pt_PT" w:bidi="pt_PT"/>
        </w:rPr>
        <w:t xml:space="preserve">, </w:t>
      </w:r>
      <w:hyperlink r:id="rId46">
        <w:r>
          <w:rPr>
            <w:lang w:val="pt_PT" w:bidi="pt_PT"/>
          </w:rPr>
          <w:rPr>
            <w:color w:val="0000EE"/>
            <w:u w:val="single"/>
          </w:rPr>
          <w:t>4.6–14</w:t>
        </w:r>
      </w:hyperlink>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hyperlink r:id="rId47">
        <w:r>
          <w:rPr>
            <w:lang w:val="pt_PT" w:bidi="pt_PT"/>
          </w:rPr>
          <w:rPr>
            <w:color w:val="0000EE"/>
            <w:u w:val="single"/>
          </w:rPr>
          <w:t>4.15</w:t>
        </w:r>
      </w:hyperlink>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hyperlink r:id="rId48">
        <w:r>
          <w:rPr>
            <w:lang w:val="pt_PT" w:bidi="pt_PT"/>
          </w:rPr>
          <w:rPr>
            <w:color w:val="0000EE"/>
            <w:u w:val="single"/>
          </w:rPr>
          <w:t>5.3</w:t>
        </w:r>
      </w:hyperlink>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hyperlink r:id="rId49">
        <w:r>
          <w:rPr>
            <w:lang w:val="pt_PT" w:bidi="pt_PT"/>
          </w:rPr>
          <w:rPr>
            <w:color w:val="0000EE"/>
            <w:u w:val="single"/>
          </w:rPr>
          <w:t>5.4–6</w:t>
        </w:r>
      </w:hyperlink>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hyperlink r:id="rId50">
        <w:r>
          <w:rPr>
            <w:lang w:val="pt_PT" w:bidi="pt_PT"/>
          </w:rPr>
          <w:rPr>
            <w:color w:val="0000EE"/>
            <w:u w:val="single"/>
          </w:rPr>
          <w:t>4.11</w:t>
        </w:r>
      </w:hyperlink>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hyperlink r:id="rId31">
        <w:r>
          <w:rPr>
            <w:lang w:val="pt_PT" w:bidi="pt_PT"/>
          </w:rPr>
          <w:rPr>
            <w:color w:val="0000EE"/>
            <w:u w:val="single"/>
          </w:rPr>
          <w:t>3.2</w:t>
        </w:r>
      </w:hyperlink>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hyperlink r:id="rId51">
        <w:r>
          <w:rPr>
            <w:lang w:val="pt_PT" w:bidi="pt_PT"/>
          </w:rPr>
          <w:rPr>
            <w:color w:val="0000EE"/>
            <w:u w:val="single"/>
          </w:rPr>
          <w:t>5.9</w:t>
        </w:r>
      </w:hyperlink>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hyperlink r:id="rId52">
        <w:r>
          <w:rPr>
            <w:lang w:val="pt_PT" w:bidi="pt_PT"/>
          </w:rPr>
          <w:rPr>
            <w:color w:val="0000EE"/>
            <w:u w:val="single"/>
          </w:rPr>
          <w:t xml:space="preserve">5.14 </w:t>
        </w:r>
      </w:hyperlink>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hyperlink r:id="rId53">
        <w:r>
          <w:rPr>
            <w:lang w:val="pt_PT" w:bidi="pt_PT"/>
          </w:rPr>
          <w:rPr>
            <w:color w:val="0000EE"/>
            <w:u w:val="single"/>
          </w:rPr>
          <w:t>5.4</w:t>
        </w:r>
      </w:hyperlink>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hyperlink r:id="rId54">
        <w:r>
          <w:rPr>
            <w:lang w:val="pt_PT" w:bidi="pt_PT"/>
          </w:rPr>
          <w:rPr>
            <w:color w:val="0000EE"/>
            <w:u w:val="single"/>
          </w:rPr>
          <w:t>5.11–13</w:t>
        </w:r>
      </w:hyperlink>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hyperlink r:id="rId48">
        <w:r>
          <w:rPr>
            <w:lang w:val="pt_PT" w:bidi="pt_PT"/>
          </w:rPr>
          <w:rPr>
            <w:color w:val="0000EE"/>
            <w:u w:val="single"/>
          </w:rPr>
          <w:t>5.3</w:t>
        </w:r>
      </w:hyperlink>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hyperlink r:id="rId55">
        <w:r>
          <w:rPr>
            <w:lang w:val="pt_PT" w:bidi="pt_PT"/>
          </w:rPr>
          <w:rPr>
            <w:color w:val="0000EE"/>
            <w:u w:val="single"/>
          </w:rPr>
          <w:t>Deuteronômio 25.4</w:t>
        </w:r>
      </w:hyperlink>
      <w:r>
        <w:rPr>
          <w:lang w:val="pt_PT" w:bidi="pt_PT"/>
        </w:rPr>
        <w:t xml:space="preserve">. Em seguida, ele menciona algo que Jesus disse, que pode ser encontrado em </w:t>
      </w:r>
      <w:hyperlink r:id="rId56">
        <w:r>
          <w:rPr>
            <w:lang w:val="pt_PT" w:bidi="pt_PT"/>
          </w:rPr>
          <w:rPr>
            <w:color w:val="0000EE"/>
            <w:u w:val="single"/>
          </w:rPr>
          <w:t>Lucas 10.7</w:t>
        </w:r>
      </w:hyperlink>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hyperlink r:id="rId57">
        <w:r>
          <w:rPr>
            <w:lang w:val="pt_PT" w:bidi="pt_PT"/>
          </w:rPr>
          <w:rPr>
            <w:color w:val="0000EE"/>
            <w:u w:val="single"/>
          </w:rPr>
          <w:t>5.17–20</w:t>
        </w:r>
      </w:hyperlink>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hyperlink r:id="rId58">
        <w:r>
          <w:rPr>
            <w:lang w:val="pt_PT" w:bidi="pt_PT"/>
          </w:rPr>
          <w:rPr>
            <w:color w:val="0000EE"/>
            <w:u w:val="single"/>
          </w:rPr>
          <w:t>6.1–2</w:t>
        </w:r>
      </w:hyperlink>
      <w:r>
        <w:rPr>
          <w:lang w:val="pt_PT" w:bidi="pt_PT"/>
        </w:rPr>
        <w:t xml:space="preserve">, </w:t>
      </w:r>
      <w:hyperlink r:id="rId59">
        <w:r>
          <w:rPr>
            <w:lang w:val="pt_PT" w:bidi="pt_PT"/>
          </w:rPr>
          <w:rPr>
            <w:color w:val="0000EE"/>
            <w:u w:val="single"/>
          </w:rPr>
          <w:t>5.3–6.2</w:t>
        </w:r>
      </w:hyperlink>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hyperlink r:id="rId60">
        <w:r>
          <w:rPr>
            <w:lang w:val="pt_PT" w:bidi="pt_PT"/>
          </w:rPr>
          <w:rPr>
            <w:color w:val="0000EE"/>
            <w:u w:val="single"/>
          </w:rPr>
          <w:t>1.3</w:t>
        </w:r>
      </w:hyperlink>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hyperlink r:id="rId61">
        <w:r>
          <w:rPr>
            <w:lang w:val="pt_PT" w:bidi="pt_PT"/>
          </w:rPr>
          <w:rPr>
            <w:color w:val="0000EE"/>
            <w:u w:val="single"/>
          </w:rPr>
          <w:t>1.10</w:t>
        </w:r>
      </w:hyperlink>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hyperlink r:id="rId62">
        <w:r>
          <w:rPr>
            <w:lang w:val="pt_PT" w:bidi="pt_PT"/>
          </w:rPr>
          <w:rPr>
            <w:color w:val="0000EE"/>
            <w:u w:val="single"/>
          </w:rPr>
          <w:t>3.6</w:t>
        </w:r>
      </w:hyperlink>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&amp;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hyperlink r:id="rId63">
        <w:r>
          <w:rPr>
            <w:lang w:val="pt_PT" w:bidi="pt_PT"/>
          </w:rPr>
          <w:rPr>
            <w:color w:val="0000EE"/>
            <w:u w:val="single"/>
          </w:rPr>
          <w:t>6.5</w:t>
        </w:r>
      </w:hyperlink>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hyperlink r:id="rId63">
        <w:r>
          <w:rPr>
            <w:lang w:val="pt_PT" w:bidi="pt_PT"/>
          </w:rPr>
          <w:rPr>
            <w:color w:val="0000EE"/>
            <w:u w:val="single"/>
          </w:rPr>
          <w:t>6.5</w:t>
        </w:r>
      </w:hyperlink>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hyperlink r:id="rId64">
        <w:r>
          <w:rPr>
            <w:lang w:val="pt_PT" w:bidi="pt_PT"/>
          </w:rPr>
          <w:rPr>
            <w:color w:val="0000EE"/>
            <w:u w:val="single"/>
          </w:rPr>
          <w:t>6.8</w:t>
        </w:r>
      </w:hyperlink>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hyperlink r:id="rId65">
        <w:r>
          <w:rPr>
            <w:lang w:val="pt_PT" w:bidi="pt_PT"/>
          </w:rPr>
          <w:rPr>
            <w:color w:val="0000EE"/>
            <w:u w:val="single"/>
          </w:rPr>
          <w:t>3.7</w:t>
        </w:r>
      </w:hyperlink>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hyperlink r:id="rId66">
        <w:r>
          <w:rPr>
            <w:lang w:val="pt_PT" w:bidi="pt_PT"/>
          </w:rPr>
          <w:rPr>
            <w:color w:val="0000EE"/>
            <w:u w:val="single"/>
          </w:rPr>
          <w:t>5.21</w:t>
        </w:r>
      </w:hyperlink>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hyperlink r:id="rId67">
        <w:r>
          <w:rPr>
            <w:lang w:val="pt_PT" w:bidi="pt_PT"/>
          </w:rPr>
          <w:rPr>
            <w:color w:val="0000EE"/>
            <w:u w:val="single"/>
          </w:rPr>
          <w:t>2.6</w:t>
        </w:r>
      </w:hyperlink>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hyperlink r:id="rId68">
        <w:r>
          <w:rPr>
            <w:lang w:val="pt_PT" w:bidi="pt_PT"/>
          </w:rPr>
          <w:rPr>
            <w:color w:val="0000EE"/>
            <w:u w:val="single"/>
          </w:rPr>
          <w:t>6.17</w:t>
        </w:r>
      </w:hyperlink>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hyperlink r:id="rId69">
        <w:r>
          <w:rPr>
            <w:lang w:val="pt_PT" w:bidi="pt_PT"/>
          </w:rPr>
          <w:rPr>
            <w:color w:val="0000EE"/>
            <w:u w:val="single"/>
          </w:rPr>
          <w:t>6.12</w:t>
        </w:r>
      </w:hyperlink>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hyperlink r:id="rId70">
        <w:r>
          <w:rPr>
            <w:lang w:val="pt_PT" w:bidi="pt_PT"/>
          </w:rPr>
          <w:rPr>
            <w:color w:val="0000EE"/>
            <w:u w:val="single"/>
          </w:rPr>
          <w:t>1.6</w:t>
        </w:r>
      </w:hyperlink>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7" TargetMode="External"/><Relationship Id="rId16" Type="http://schemas.openxmlformats.org/officeDocument/2006/relationships/hyperlink" Target="https://ref.ly/1Tim1:8" TargetMode="External"/><Relationship Id="rId17" Type="http://schemas.openxmlformats.org/officeDocument/2006/relationships/hyperlink" Target="https://ref.ly/1Tim1:15" TargetMode="External"/><Relationship Id="rId18" Type="http://schemas.openxmlformats.org/officeDocument/2006/relationships/hyperlink" Target="https://ref.ly/Rom16:27" TargetMode="External"/><Relationship Id="rId19" Type="http://schemas.openxmlformats.org/officeDocument/2006/relationships/hyperlink" Target="https://ref.ly/1Tim1:3-1Tim1:5" TargetMode="External"/><Relationship Id="rId20" Type="http://schemas.openxmlformats.org/officeDocument/2006/relationships/hyperlink" Target="https://ref.ly/1Tim1:2" TargetMode="External"/><Relationship Id="rId21" Type="http://schemas.openxmlformats.org/officeDocument/2006/relationships/hyperlink" Target="https://ref.ly/1Tim1:5"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