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 ὅτι</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r>
        <w:rPr>
          <w:lang w:val="en_US" w:bidi="en_US"/>
        </w:rPr>
      </w:r>
      <w:r>
        <w:rPr>
          <w:lang w:val="en_US" w:bidi="en_US"/>
        </w:rPr>
        <w:t>Connecting Statement:\n\nPaul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6–15, Paul gives the believers some final instructions about working and not being idle. A heading for this section might be, “Believers Must Work.”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