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w:t>
      </w:r>
      <w:hyperlink r:id="rId13">
        <w:r>
          <w:rPr>
            <w:lang w:val="en_US" w:bidi="en_US"/>
          </w:rPr>
          <w:rPr>
            <w:color w:val="0000EE"/>
            <w:u w:val="single"/>
          </w:rPr>
          <w:t>1:5–7</w:t>
        </w:r>
      </w:hyperlink>
      <w:r>
        <w:rPr>
          <w:lang w:val="en_US" w:bidi="en_US"/>
        </w:rPr>
        <w:t>.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w:t>
      </w:r>
      <w:r>
        <w:rPr>
          <w:lang w:val="en_US" w:bidi="en_US"/>
        </w:rPr>
        <w:t xml:space="preserve"> - </w:t>
      </w:r>
      <w:r>
        <w:rPr>
          <w:b/>
          <w:lang w:val="en_US" w:bidi="en_US"/>
        </w:rPr>
        <w:t>"goodness"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w:t>
      </w:r>
      <w:r>
        <w:rPr>
          <w:lang w:val="en_US" w:bidi="en_US"/>
        </w:rPr>
        <w:t xml:space="preserve"> - </w:t>
      </w:r>
      <w:r>
        <w:rPr>
          <w:b/>
          <w:lang w:val="en_US" w:bidi="en_US"/>
        </w:rPr>
        <w:t>"self-control"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w:t>
      </w:r>
      <w:r>
        <w:rPr>
          <w:lang w:val="en_US" w:bidi="en_US"/>
        </w:rPr>
        <w:t xml:space="preserve"> - </w:t>
      </w:r>
      <w:r>
        <w:rPr>
          <w:b/>
          <w:lang w:val="en_US" w:bidi="en_US"/>
        </w:rPr>
        <w:t>"endurance"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w:t>
      </w:r>
      <w:r>
        <w:rPr>
          <w:lang w:val="en_US" w:bidi="en_US"/>
        </w:rPr>
        <w:t xml:space="preserve"> - </w:t>
      </w:r>
      <w:r>
        <w:rPr>
          <w:b/>
          <w:lang w:val="en_US" w:bidi="en_US"/>
        </w:rPr>
        <w:t>"brotherly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w:t>
      </w:r>
      <w:hyperlink r:id="rId13">
        <w:r>
          <w:rPr>
            <w:lang w:val="en_US" w:bidi="en_US"/>
          </w:rPr>
          <w:rPr>
            <w:color w:val="0000EE"/>
            <w:u w:val="single"/>
          </w:rPr>
          <w:t>1:5–7</w:t>
        </w:r>
      </w:hyperlink>
      <w:r>
        <w:rPr>
          <w:lang w:val="en_US" w:bidi="en_US"/>
        </w:rPr>
        <w:t>.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w:t>
      </w:r>
      <w:hyperlink r:id="rId13">
        <w:r>
          <w:rPr>
            <w:lang w:val="en_US" w:bidi="en_US"/>
          </w:rPr>
          <w:rPr>
            <w:color w:val="0000EE"/>
            <w:u w:val="single"/>
          </w:rPr>
          <w:t>1:5–7</w:t>
        </w:r>
      </w:hyperlink>
      <w:r>
        <w:rPr>
          <w:lang w:val="en_US" w:bidi="en_US"/>
        </w:rPr>
        <w:t xml:space="preserve">. Peter gave a positive reason in </w:t>
      </w:r>
      <w:hyperlink r:id="rId14">
        <w:r>
          <w:rPr>
            <w:lang w:val="en_US" w:bidi="en_US"/>
          </w:rPr>
          <w:rPr>
            <w:color w:val="0000EE"/>
            <w:u w:val="single"/>
          </w:rPr>
          <w:t>1:8</w:t>
        </w:r>
      </w:hyperlink>
      <w:r>
        <w:rPr>
          <w:lang w:val="en_US" w:bidi="en_US"/>
        </w:rPr>
        <w:t xml:space="preserve">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w:t>
      </w:r>
      <w:r>
        <w:rPr>
          <w:lang w:val="en_US" w:bidi="en_US"/>
        </w:rPr>
        <w:t xml:space="preserve"> - </w:t>
      </w:r>
      <w:r>
        <w:rPr>
          <w:b/>
          <w:lang w:val="en_US" w:bidi="en_US"/>
        </w:rPr>
        <w:t>"is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xml:space="preserve">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w:t>
      </w:r>
      <w:hyperlink r:id="rId15">
        <w:r>
          <w:rPr>
            <w:lang w:val="en_US" w:bidi="en_US"/>
          </w:rPr>
          <w:rPr>
            <w:color w:val="0000EE"/>
            <w:u w:val="single"/>
          </w:rPr>
          <w:t>1:8–9</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w:t>
      </w:r>
      <w:hyperlink r:id="rId13">
        <w:r>
          <w:rPr>
            <w:lang w:val="en_US" w:bidi="en_US"/>
          </w:rPr>
          <w:rPr>
            <w:color w:val="0000EE"/>
            <w:u w:val="single"/>
          </w:rPr>
          <w:t>1:5–7</w:t>
        </w:r>
      </w:hyperlink>
      <w:r>
        <w:rPr>
          <w:lang w:val="en_US" w:bidi="en_US"/>
        </w:rPr>
        <w:t xml:space="preserve"> and </w:t>
      </w:r>
      <w:hyperlink r:id="rId16">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Connecting Statement:\n\nPeter uses </w:t>
      </w:r>
      <w:r>
        <w:rPr>
          <w:b/>
          <w:lang w:val="en_US" w:bidi="en_US"/>
        </w:rPr>
        <w:t>Therefore</w:t>
      </w:r>
      <w:r>
        <w:rPr>
          <w:lang w:val="en_US" w:bidi="en_US"/>
        </w:rPr>
        <w:t xml:space="preserve"> to introduce the purpose of his letter. In order to encourage his readers to do everything he has said in </w:t>
      </w:r>
      <w:hyperlink r:id="rId17">
        <w:r>
          <w:rPr>
            <w:lang w:val="en_US" w:bidi="en_US"/>
          </w:rPr>
          <w:rPr>
            <w:color w:val="0000EE"/>
            <w:u w:val="single"/>
          </w:rPr>
          <w:t>1:5–10</w:t>
        </w:r>
      </w:hyperlink>
      <w:r>
        <w:rPr>
          <w:lang w:val="en_US" w:bidi="en_US"/>
        </w:rPr>
        <w:t xml:space="preserve">, and especially because of the promise in </w:t>
      </w:r>
      <w:hyperlink r:id="rId18">
        <w:r>
          <w:rPr>
            <w:lang w:val="en_US" w:bidi="en_US"/>
          </w:rPr>
          <w:rPr>
            <w:color w:val="0000EE"/>
            <w:u w:val="single"/>
          </w:rPr>
          <w:t>1:11</w:t>
        </w:r>
      </w:hyperlink>
      <w:r>
        <w:rPr>
          <w:lang w:val="en_US" w:bidi="en_US"/>
        </w:rPr>
        <w:t>,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 xml:space="preserve">In this clause Peter is giving a reason why he will always remind his audience of doctrinal truths in this letter, specifically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w:t>
      </w:r>
      <w:hyperlink r:id="rId13">
        <w:r>
          <w:rPr>
            <w:lang w:val="en_US" w:bidi="en_US"/>
          </w:rPr>
          <w:rPr>
            <w:color w:val="0000EE"/>
            <w:u w:val="single"/>
          </w:rPr>
          <w:t>1:5–7</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Connecting Statement:\n\n</w:t>
      </w:r>
      <w:r>
        <w:rPr>
          <w:b/>
          <w:lang w:val="en_US" w:bidi="en_US"/>
        </w:rPr>
        <w:t>For</w:t>
      </w:r>
      <w:r>
        <w:rPr>
          <w:lang w:val="en_US" w:bidi="en_US"/>
        </w:rPr>
        <w:t xml:space="preserve"> indicates that in </w:t>
      </w:r>
      <w:hyperlink r:id="rId19">
        <w:r>
          <w:rPr>
            <w:lang w:val="en_US" w:bidi="en_US"/>
          </w:rPr>
          <w:rPr>
            <w:color w:val="0000EE"/>
            <w:u w:val="single"/>
          </w:rPr>
          <w:t>1:16–21</w:t>
        </w:r>
      </w:hyperlink>
      <w:r>
        <w:rPr>
          <w:lang w:val="en_US" w:bidi="en_US"/>
        </w:rPr>
        <w:t xml:space="preserve"> Peter explains to the believers why they should remember “these things,” which were mentioned in </w:t>
      </w:r>
      <w:hyperlink r:id="rId13">
        <w:r>
          <w:rPr>
            <w:lang w:val="en_US" w:bidi="en_US"/>
          </w:rPr>
          <w:rPr>
            <w:color w:val="0000EE"/>
            <w:u w:val="single"/>
          </w:rPr>
          <w:t>1:5–7</w:t>
        </w:r>
      </w:hyperlink>
      <w:r>
        <w:rPr>
          <w:lang w:val="en_US" w:bidi="en_US"/>
        </w:rPr>
        <w:t>.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w:t>
      </w:r>
      <w:hyperlink r:id="rId20">
        <w:r>
          <w:rPr>
            <w:lang w:val="en_US" w:bidi="en_US"/>
          </w:rPr>
          <w:rPr>
            <w:color w:val="0000EE"/>
            <w:u w:val="single"/>
          </w:rPr>
          <w:t>1:17–18</w:t>
        </w:r>
      </w:hyperlink>
      <w:r>
        <w:rPr>
          <w:lang w:val="en_US" w:bidi="en_US"/>
        </w:rPr>
        <w:t xml:space="preserve">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w:t>
      </w:r>
      <w:r>
        <w:rPr>
          <w:lang w:val="en_US" w:bidi="en_US"/>
        </w:rPr>
        <w:t xml:space="preserve"> - </w:t>
      </w:r>
      <w:r>
        <w:rPr>
          <w:b/>
          <w:lang w:val="en_US" w:bidi="en_US"/>
        </w:rPr>
        <w:t>"my"</w:t>
      </w:r>
      <w:r>
        <w:rPr>
          <w:lang w:val="en_US" w:bidi="en_US"/>
        </w:rPr>
        <w:t xml:space="preserve"> - </w:t>
      </w:r>
      <w:r>
        <w:rPr>
          <w:b/>
          <w:lang w:val="en_US" w:bidi="en_US"/>
        </w:rPr>
        <w:t>"myself"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w:t>
      </w:r>
      <w:hyperlink r:id="rId21">
        <w:r>
          <w:rPr>
            <w:lang w:val="en_US" w:bidi="en_US"/>
          </w:rPr>
          <w:rPr>
            <w:color w:val="0000EE"/>
            <w:u w:val="single"/>
          </w:rPr>
          <w:t>1:18–19</w:t>
        </w:r>
      </w:hyperlink>
      <w:r>
        <w:rPr>
          <w:lang w:val="en_US" w:bidi="en_US"/>
        </w:rPr>
        <w:t xml:space="preserve">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Here,</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Connecting Statement:\n\nHere, </w:t>
      </w:r>
      <w:r>
        <w:rPr>
          <w:b/>
          <w:lang w:val="en_US" w:bidi="en_US"/>
        </w:rPr>
        <w:t>if</w:t>
      </w:r>
      <w:r>
        <w:rPr>
          <w:lang w:val="en_US" w:bidi="en_US"/>
        </w:rPr>
        <w:t xml:space="preserve"> indicates the beginning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w:t>
      </w:r>
      <w:hyperlink r:id="rId23">
        <w:r>
          <w:rPr>
            <w:lang w:val="en_US" w:bidi="en_US"/>
          </w:rPr>
          <w:rPr>
            <w:color w:val="0000EE"/>
            <w:u w:val="single"/>
          </w:rPr>
          <w:t>2:4</w:t>
        </w:r>
      </w:hyperlink>
      <w:r>
        <w:rPr>
          <w:lang w:val="en_US" w:bidi="en_US"/>
        </w:rPr>
        <w:t xml:space="preserve">,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Connecting Statement:\n\nHere, </w:t>
      </w:r>
      <w:r>
        <w:rPr>
          <w:b/>
          <w:lang w:val="en_US" w:bidi="en_US"/>
        </w:rPr>
        <w:t>and</w:t>
      </w:r>
      <w:r>
        <w:rPr>
          <w:lang w:val="en_US" w:bidi="en_US"/>
        </w:rPr>
        <w:t xml:space="preserve"> indicates the beginning of the fourth condition in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 xml:space="preserve">Connecting Statement:\n\nThis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w:t>
      </w:r>
      <w:hyperlink r:id="rId25">
        <w:r>
          <w:rPr>
            <w:lang w:val="en_US" w:bidi="en_US"/>
          </w:rPr>
          <w:rPr>
            <w:color w:val="0000EE"/>
            <w:u w:val="single"/>
          </w:rPr>
          <w:t>2:2</w:t>
        </w:r>
      </w:hyperlink>
      <w:r>
        <w:rPr>
          <w:lang w:val="en_US" w:bidi="en_US"/>
        </w:rPr>
        <w:t>.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 xml:space="preserve">This verse and the next verse are the end of a conditional sentence that extends from </w:t>
      </w:r>
      <w:hyperlink r:id="rId23">
        <w:r>
          <w:rPr>
            <w:lang w:val="en_US" w:bidi="en_US"/>
          </w:rPr>
          <w:rPr>
            <w:color w:val="0000EE"/>
            <w:u w:val="single"/>
          </w:rPr>
          <w:t>2:4</w:t>
        </w:r>
      </w:hyperlink>
      <w:r>
        <w:rPr>
          <w:lang w:val="en_US" w:bidi="en_US"/>
        </w:rPr>
        <w:t xml:space="preserve"> to </w:t>
      </w:r>
      <w:hyperlink r:id="rId24">
        <w:r>
          <w:rPr>
            <w:lang w:val="en_US" w:bidi="en_US"/>
          </w:rPr>
          <w:rPr>
            <w:color w:val="0000EE"/>
            <w:u w:val="single"/>
          </w:rPr>
          <w:t>2:10</w:t>
        </w:r>
      </w:hyperlink>
      <w:r>
        <w:rPr>
          <w:lang w:val="en_US" w:bidi="en_US"/>
        </w:rPr>
        <w:t xml:space="preserve">. Peter is giving the result of the previous conditions being true. If you have made </w:t>
      </w:r>
      <w:hyperlink r:id="rId26">
        <w:r>
          <w:rPr>
            <w:lang w:val="en_US" w:bidi="en_US"/>
          </w:rPr>
          <w:rPr>
            <w:color w:val="0000EE"/>
            <w:u w:val="single"/>
          </w:rPr>
          <w:t>2:4–10</w:t>
        </w:r>
      </w:hyperlink>
      <w:r>
        <w:rPr>
          <w:lang w:val="en_US" w:bidi="en_US"/>
        </w:rPr>
        <w:t xml:space="preserve"> into separate sentences, then you will need to indicate that </w:t>
      </w:r>
      <w:hyperlink r:id="rId27">
        <w:r>
          <w:rPr>
            <w:lang w:val="en_US" w:bidi="en_US"/>
          </w:rPr>
          <w:rPr>
            <w:color w:val="0000EE"/>
            <w:u w:val="single"/>
          </w:rPr>
          <w:t>2:9</w:t>
        </w:r>
      </w:hyperlink>
      <w:r>
        <w:rPr>
          <w:lang w:val="en_US" w:bidi="en_US"/>
        </w:rPr>
        <w:t xml:space="preserve">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Connecting Statement:\n\nHere,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r>
        <w:rPr>
          <w:lang w:val="en_US" w:bidi="en_US"/>
        </w:rPr>
      </w:r>
      <w:r>
        <w:rPr>
          <w:lang w:val="en_US" w:bidi="en_US"/>
        </w:rPr>
        <w:t xml:space="preserve">Connecting Statement:\n\nPeter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w:t>
      </w:r>
      <w:hyperlink r:id="rId28">
        <w:r>
          <w:rPr>
            <w:lang w:val="en_US" w:bidi="en_US"/>
          </w:rPr>
          <w:rPr>
            <w:color w:val="0000EE"/>
            <w:u w:val="single"/>
          </w:rPr>
          <w:t>2:22</w:t>
        </w:r>
      </w:hyperlink>
      <w:r>
        <w:rPr>
          <w:lang w:val="en_US" w:bidi="en_US"/>
        </w:rPr>
        <w:t>.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w:t>
      </w:r>
      <w:hyperlink r:id="rId22">
        <w:r>
          <w:rPr>
            <w:lang w:val="en_US" w:bidi="en_US"/>
          </w:rPr>
          <w:rPr>
            <w:color w:val="0000EE"/>
            <w:u w:val="single"/>
          </w:rPr>
          <w:t>2:1</w:t>
        </w:r>
      </w:hyperlink>
      <w:r>
        <w:rPr>
          <w:lang w:val="en_US" w:bidi="en_US"/>
        </w:rPr>
        <w:t>.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w:t>
      </w:r>
      <w:hyperlink r:id="rId24">
        <w:r>
          <w:rPr>
            <w:lang w:val="en_US" w:bidi="en_US"/>
          </w:rPr>
          <w:rPr>
            <w:color w:val="0000EE"/>
            <w:u w:val="single"/>
          </w:rPr>
          <w:t>2:10</w:t>
        </w:r>
      </w:hyperlink>
      <w:r>
        <w:rPr>
          <w:lang w:val="en_US" w:bidi="en_US"/>
        </w:rPr>
        <w:t>.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This clause refers to the actions of the false teachers Peter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Βαλαὰμ &amp;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Here, the pronoun</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w:t>
      </w:r>
      <w:hyperlink r:id="rId25">
        <w:r>
          <w:rPr>
            <w:lang w:val="en_US" w:bidi="en_US"/>
          </w:rPr>
          <w:rPr>
            <w:color w:val="0000EE"/>
            <w:u w:val="single"/>
          </w:rPr>
          <w:t>2:2</w:t>
        </w:r>
      </w:hyperlink>
      <w:r>
        <w:rPr>
          <w:lang w:val="en_US" w:bidi="en_US"/>
        </w:rPr>
        <w:t>.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w:t>
      </w:r>
      <w:hyperlink r:id="rId29">
        <w:r>
          <w:rPr>
            <w:lang w:val="en_US" w:bidi="en_US"/>
          </w:rPr>
          <w:rPr>
            <w:color w:val="0000EE"/>
            <w:u w:val="single"/>
          </w:rPr>
          <w:t>2:18</w:t>
        </w:r>
      </w:hyperlink>
      <w:r>
        <w:rPr>
          <w:lang w:val="en_US" w:bidi="en_US"/>
        </w:rPr>
        <w:t xml:space="preserve">,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w:t>
      </w:r>
      <w:hyperlink r:id="rId30">
        <w:r>
          <w:rPr>
            <w:lang w:val="en_US" w:bidi="en_US"/>
          </w:rPr>
          <w:rPr>
            <w:color w:val="0000EE"/>
            <w:u w:val="single"/>
          </w:rPr>
          <w:t>1:2</w:t>
        </w:r>
      </w:hyperlink>
      <w:r>
        <w:rPr>
          <w:lang w:val="en_US" w:bidi="en_US"/>
        </w:rPr>
        <w:t>.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Connecting Statement:\n\nHere,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xml:space="preserve"> and discussed in </w:t>
      </w:r>
      <w:hyperlink r:id="rId31">
        <w:r>
          <w:rPr>
            <w:lang w:val="en_US" w:bidi="en_US"/>
          </w:rPr>
          <w:rPr>
            <w:color w:val="0000EE"/>
            <w:u w:val="single"/>
          </w:rPr>
          <w:t>2:12–19</w:t>
        </w:r>
      </w:hyperlink>
      <w:r>
        <w:rPr>
          <w:lang w:val="en_US" w:bidi="en_US"/>
        </w:rPr>
        <w:t>.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w:t>
      </w:r>
      <w:hyperlink r:id="rId25">
        <w:r>
          <w:rPr>
            <w:lang w:val="en_US" w:bidi="en_US"/>
          </w:rPr>
          <w:rPr>
            <w:color w:val="0000EE"/>
            <w:u w:val="single"/>
          </w:rPr>
          <w:t>2:2</w:t>
        </w:r>
      </w:hyperlink>
      <w:r>
        <w:rPr>
          <w:lang w:val="en_US" w:bidi="en_US"/>
        </w:rPr>
        <w:t xml:space="preserve"> and “the straight way” in </w:t>
      </w:r>
      <w:hyperlink r:id="rId32">
        <w:r>
          <w:rPr>
            <w:lang w:val="en_US" w:bidi="en_US"/>
          </w:rPr>
          <w:rPr>
            <w:color w:val="0000EE"/>
            <w:u w:val="single"/>
          </w:rPr>
          <w:t>2:15</w:t>
        </w:r>
      </w:hyperlink>
      <w:r>
        <w:rPr>
          <w:lang w:val="en_US" w:bidi="en_US"/>
        </w:rPr>
        <w:t>.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w:t>
      </w:r>
      <w:hyperlink r:id="rId22">
        <w:r>
          <w:rPr>
            <w:lang w:val="en_US" w:bidi="en_US"/>
          </w:rPr>
          <w:rPr>
            <w:color w:val="0000EE"/>
            <w:u w:val="single"/>
          </w:rPr>
          <w:t>2:1</w:t>
        </w:r>
      </w:hyperlink>
      <w:r>
        <w:rPr>
          <w:lang w:val="en_US" w:bidi="en_US"/>
        </w:rPr>
        <w:t>.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w:t>
      </w:r>
      <w:r>
        <w:rPr>
          <w:lang w:val="en_US" w:bidi="en_US"/>
        </w:rPr>
        <w:t xml:space="preserve"> - </w:t>
      </w:r>
      <w:r>
        <w:rPr>
          <w:b/>
          <w:lang w:val="en_US" w:bidi="en_US"/>
        </w:rPr>
        <w:t>"pig"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xml:space="preserve">, as if the minds of his readers are asleep, to refer to causing his readers to think about these things. If it would be helpful in your language, you could express this metaphor by translating this plainly. See how you translated this term in </w:t>
      </w:r>
      <w:hyperlink r:id="rId33">
        <w:r>
          <w:rPr>
            <w:lang w:val="en_US" w:bidi="en_US"/>
          </w:rPr>
          <w:rPr>
            <w:color w:val="0000EE"/>
            <w:u w:val="single"/>
          </w:rPr>
          <w:t>1:13</w:t>
        </w:r>
      </w:hyperlink>
      <w:r>
        <w:rPr>
          <w:lang w:val="en_US" w:bidi="en_US"/>
        </w:rPr>
        <w:t>.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w:t>
      </w:r>
      <w:hyperlink r:id="rId33">
        <w:r>
          <w:rPr>
            <w:lang w:val="en_US" w:bidi="en_US"/>
          </w:rPr>
          <w:rPr>
            <w:color w:val="0000EE"/>
            <w:u w:val="single"/>
          </w:rPr>
          <w:t>1:13</w:t>
        </w:r>
      </w:hyperlink>
      <w:r>
        <w:rPr>
          <w:lang w:val="en_US" w:bidi="en_US"/>
        </w:rPr>
        <w:t>.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w:t>
      </w:r>
      <w:hyperlink r:id="rId34">
        <w:r>
          <w:rPr>
            <w:lang w:val="en_US" w:bidi="en_US"/>
          </w:rPr>
          <w:rPr>
            <w:color w:val="0000EE"/>
            <w:u w:val="single"/>
          </w:rPr>
          <w:t>1:19–21</w:t>
        </w:r>
      </w:hyperlink>
      <w:r>
        <w:rPr>
          <w:lang w:val="en_US" w:bidi="en_US"/>
        </w:rPr>
        <w:t>.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w:t>
      </w:r>
      <w:hyperlink r:id="rId35">
        <w:r>
          <w:rPr>
            <w:lang w:val="en_US" w:bidi="en_US"/>
          </w:rPr>
          <w:rPr>
            <w:color w:val="0000EE"/>
            <w:u w:val="single"/>
          </w:rPr>
          <w:t>1:20</w:t>
        </w:r>
      </w:hyperlink>
      <w:r>
        <w:rPr>
          <w:lang w:val="en_US" w:bidi="en_US"/>
        </w:rPr>
        <w:t>.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is using a statement to give an instruction. If it would be helpful in your language, you could indicate this by translating it as a command. If you do so, it might be helpful to start a new sentence here. See how you translated this in </w:t>
      </w:r>
      <w:hyperlink r:id="rId35">
        <w:r>
          <w:rPr>
            <w:lang w:val="en_US" w:bidi="en_US"/>
          </w:rPr>
          <w:rPr>
            <w:color w:val="0000EE"/>
            <w:u w:val="single"/>
          </w:rPr>
          <w:t>1:20</w:t>
        </w:r>
      </w:hyperlink>
      <w:r>
        <w:rPr>
          <w:lang w:val="en_US" w:bidi="en_US"/>
        </w:rPr>
        <w:t>.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w:t>
      </w:r>
      <w:hyperlink r:id="rId36">
        <w:r>
          <w:rPr>
            <w:lang w:val="en_US" w:bidi="en_US"/>
          </w:rPr>
          <w:rPr>
            <w:color w:val="0000EE"/>
            <w:u w:val="single"/>
          </w:rPr>
          <w:t>3:5–6</w:t>
        </w:r>
      </w:hyperlink>
      <w:r>
        <w:rPr>
          <w:lang w:val="en_US" w:bidi="en_US"/>
        </w:rPr>
        <w:t xml:space="preserve">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w:t>
      </w:r>
      <w:hyperlink r:id="rId37">
        <w:r>
          <w:rPr>
            <w:lang w:val="en_US" w:bidi="en_US"/>
          </w:rPr>
          <w:rPr>
            <w:color w:val="0000EE"/>
            <w:u w:val="single"/>
          </w:rPr>
          <w:t>3:4</w:t>
        </w:r>
      </w:hyperlink>
      <w:r>
        <w:rPr>
          <w:lang w:val="en_US" w:bidi="en_US"/>
        </w:rPr>
        <w:t>.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w:t>
      </w:r>
      <w:hyperlink r:id="rId38">
        <w:r>
          <w:rPr>
            <w:lang w:val="en_US" w:bidi="en_US"/>
          </w:rPr>
          <w:rPr>
            <w:color w:val="0000EE"/>
            <w:u w:val="single"/>
          </w:rPr>
          <w:t>3:3</w:t>
        </w:r>
      </w:hyperlink>
      <w:r>
        <w:rPr>
          <w:lang w:val="en_US" w:bidi="en_US"/>
        </w:rPr>
        <w:t xml:space="preserve">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w:t>
      </w:r>
      <w:hyperlink r:id="rId39">
        <w:r>
          <w:rPr>
            <w:lang w:val="en_US" w:bidi="en_US"/>
          </w:rPr>
          <w:rPr>
            <w:color w:val="0000EE"/>
            <w:u w:val="single"/>
          </w:rPr>
          <w:t>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w:t>
      </w:r>
      <w:hyperlink r:id="rId37">
        <w:r>
          <w:rPr>
            <w:lang w:val="en_US" w:bidi="en_US"/>
          </w:rPr>
          <w:rPr>
            <w:color w:val="0000EE"/>
            <w:u w:val="single"/>
          </w:rPr>
          <w:t>3:4</w:t>
        </w:r>
      </w:hyperlink>
      <w:r>
        <w:rPr>
          <w:lang w:val="en_US" w:bidi="en_US"/>
        </w:rPr>
        <w:t>.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w:t>
      </w:r>
      <w:hyperlink r:id="rId40">
        <w:r>
          <w:rPr>
            <w:lang w:val="en_US" w:bidi="en_US"/>
          </w:rPr>
          <w:rPr>
            <w:color w:val="0000EE"/>
            <w:u w:val="single"/>
          </w:rPr>
          <w:t>3:10–13</w:t>
        </w:r>
      </w:hyperlink>
      <w:r>
        <w:rPr>
          <w:lang w:val="en_US" w:bidi="en_US"/>
        </w:rPr>
        <w:t>.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w:t>
      </w:r>
      <w:hyperlink r:id="rId40">
        <w:r>
          <w:rPr>
            <w:lang w:val="en_US" w:bidi="en_US"/>
          </w:rPr>
          <w:rPr>
            <w:color w:val="0000EE"/>
            <w:u w:val="single"/>
          </w:rPr>
          <w:t>3:10–13</w:t>
        </w:r>
      </w:hyperlink>
      <w:r>
        <w:rPr>
          <w:lang w:val="en_US" w:bidi="en_US"/>
        </w:rPr>
        <w:t>.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Because the Lord is patient, the day of judgment has not yet happened. This gives people an opportunity to repent and be saved, as Peter explained in </w:t>
      </w:r>
      <w:hyperlink r:id="rId42">
        <w:r>
          <w:rPr>
            <w:lang w:val="en_US" w:bidi="en_US"/>
          </w:rPr>
          <w:rPr>
            <w:color w:val="0000EE"/>
            <w:u w:val="single"/>
          </w:rPr>
          <w:t>3:9</w:t>
        </w:r>
      </w:hyperlink>
      <w:r>
        <w:rPr>
          <w:lang w:val="en_US" w:bidi="en_US"/>
        </w:rPr>
        <w:t>.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w:t>
      </w:r>
      <w:hyperlink r:id="rId40">
        <w:r>
          <w:rPr>
            <w:lang w:val="en_US" w:bidi="en_US"/>
          </w:rPr>
          <w:rPr>
            <w:color w:val="0000EE"/>
            <w:u w:val="single"/>
          </w:rPr>
          <w:t>3:10–13</w:t>
        </w:r>
      </w:hyperlink>
      <w:r>
        <w:rPr>
          <w:lang w:val="en_US" w:bidi="en_US"/>
        </w:rPr>
        <w:t xml:space="preserve"> and called “these things” in </w:t>
      </w:r>
      <w:hyperlink r:id="rId43">
        <w:r>
          <w:rPr>
            <w:lang w:val="en_US" w:bidi="en_US"/>
          </w:rPr>
          <w:rPr>
            <w:color w:val="0000EE"/>
            <w:u w:val="single"/>
          </w:rPr>
          <w:t>3:14</w:t>
        </w:r>
      </w:hyperlink>
      <w:r>
        <w:rPr>
          <w:lang w:val="en_US" w:bidi="en_US"/>
        </w:rPr>
        <w:t xml:space="preserve">. Alternate translation: “these things that will happen on the day of the Lord” (2) the need to live godly lives and consider that God’s patience is for saving people, as discussed in </w:t>
      </w:r>
      <w:hyperlink r:id="rId44">
        <w:r>
          <w:rPr>
            <w:lang w:val="en_US" w:bidi="en_US"/>
          </w:rPr>
          <w:rPr>
            <w:color w:val="0000EE"/>
            <w:u w:val="single"/>
          </w:rPr>
          <w:t>3:14–15</w:t>
        </w:r>
      </w:hyperlink>
      <w:r>
        <w:rPr>
          <w:lang w:val="en_US" w:bidi="en_US"/>
        </w:rPr>
        <w:t>.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Connecting Statement:\n\nHere,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w:t>
      </w:r>
      <w:hyperlink r:id="rId41">
        <w:r>
          <w:rPr>
            <w:lang w:val="en_US" w:bidi="en_US"/>
          </w:rPr>
          <w:rPr>
            <w:color w:val="0000EE"/>
            <w:u w:val="single"/>
          </w:rPr>
          <w:t>3:1</w:t>
        </w:r>
      </w:hyperlink>
      <w:r>
        <w:rPr>
          <w:lang w:val="en_US" w:bidi="en_US"/>
        </w:rPr>
        <w:t xml:space="preserve"> and </w:t>
      </w:r>
      <w:hyperlink r:id="rId43">
        <w:r>
          <w:rPr>
            <w:lang w:val="en_US" w:bidi="en_US"/>
          </w:rPr>
          <w:rPr>
            <w:color w:val="0000EE"/>
            <w:u w:val="single"/>
          </w:rPr>
          <w:t>3:14</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r>
        <w:rPr>
          <w:lang w:val="en_US" w:bidi="en_US"/>
        </w:rPr>
      </w:r>
      <w:r>
        <w:rPr>
          <w:lang w:val="en_US" w:bidi="en_US"/>
        </w:rPr>
        <w:t>Connecting Statement:\n\nHere,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