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0">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1">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2">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3">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4">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5">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6">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7">
        <w:r>
          <w:rPr>
            <w:lang w:val="pt_PT" w:bidi="pt_PT"/>
          </w:rPr>
          <w:rPr>
            <w:color w:val="0000EE"/>
            <w:u w:val="single"/>
          </w:rPr>
          <w:t>7.14–17</w:t>
        </w:r>
      </w:hyperlink>
      <w:r>
        <w:rPr>
          <w:lang w:val="pt_PT" w:bidi="pt_PT"/>
        </w:rPr>
        <w:t xml:space="preserve"> são uma longa frase em aramaico. A primeira parte (</w:t>
      </w:r>
      <w:hyperlink r:id="rId108">
        <w:r>
          <w:rPr>
            <w:lang w:val="pt_PT" w:bidi="pt_PT"/>
          </w:rPr>
          <w:rPr>
            <w:color w:val="0000EE"/>
            <w:u w:val="single"/>
          </w:rPr>
          <w:t>7.14–16</w:t>
        </w:r>
      </w:hyperlink>
      <w:r>
        <w:rPr>
          <w:lang w:val="pt_PT" w:bidi="pt_PT"/>
        </w:rPr>
        <w:t xml:space="preserve">) fornece as razões para a segunda parte (em </w:t>
      </w:r>
      <w:hyperlink r:id="rId109">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08">
        <w:r>
          <w:rPr>
            <w:lang w:val="pt_PT" w:bidi="pt_PT"/>
          </w:rPr>
          <w:rPr>
            <w:color w:val="0000EE"/>
            <w:u w:val="single"/>
          </w:rPr>
          <w:t>7.14–16</w:t>
        </w:r>
      </w:hyperlink>
      <w:r>
        <w:rPr>
          <w:lang w:val="pt_PT" w:bidi="pt_PT"/>
        </w:rPr>
        <w:t xml:space="preserve">) fornecerão as razões para o que dizem as duas últimas frases (em </w:t>
      </w:r>
      <w:hyperlink r:id="rId109">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0">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7">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1">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1">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2">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3">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7">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4">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5">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6">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6">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7">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1">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18">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19">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0">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3">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1">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2">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18">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3">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4">
        <w:r>
          <w:rPr>
            <w:lang w:val="pt_PT" w:bidi="pt_PT"/>
          </w:rPr>
          <w:rPr>
            <w:color w:val="0000EE"/>
            <w:u w:val="single"/>
          </w:rPr>
          <w:t>8.2</w:t>
        </w:r>
      </w:hyperlink>
      <w:r>
        <w:rPr>
          <w:lang w:val="pt_PT" w:bidi="pt_PT"/>
        </w:rPr>
        <w:t xml:space="preserve"> e o início de </w:t>
      </w:r>
      <w:hyperlink r:id="rId125">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6">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7">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5">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28">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29">
        <w:r>
          <w:rPr>
            <w:lang w:val="pt_PT" w:bidi="pt_PT"/>
          </w:rPr>
          <w:rPr>
            <w:color w:val="0000EE"/>
            <w:u w:val="single"/>
          </w:rPr>
          <w:t>8.21</w:t>
        </w:r>
      </w:hyperlink>
      <w:r>
        <w:rPr>
          <w:lang w:val="pt_PT" w:bidi="pt_PT"/>
        </w:rPr>
        <w:t xml:space="preserve"> e </w:t>
      </w:r>
      <w:hyperlink r:id="rId130">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1">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18">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28">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5">
        <w:r>
          <w:rPr>
            <w:lang w:val="pt_PT" w:bidi="pt_PT"/>
          </w:rPr>
          <w:rPr>
            <w:color w:val="0000EE"/>
            <w:u w:val="single"/>
          </w:rPr>
          <w:t>8.3</w:t>
        </w:r>
      </w:hyperlink>
      <w:r>
        <w:rPr>
          <w:lang w:val="pt_PT" w:bidi="pt_PT"/>
        </w:rPr>
        <w:t xml:space="preserve"> ou do mencionado em </w:t>
      </w:r>
      <w:hyperlink r:id="rId132">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3">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3">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4">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3">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5">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3">
        <w:r>
          <w:rPr>
            <w:lang w:val="pt_PT" w:bidi="pt_PT"/>
          </w:rPr>
          <w:rPr>
            <w:color w:val="0000EE"/>
            <w:u w:val="single"/>
          </w:rPr>
          <w:t>8.18</w:t>
        </w:r>
      </w:hyperlink>
      <w:r>
        <w:rPr>
          <w:lang w:val="pt_PT" w:bidi="pt_PT"/>
        </w:rPr>
        <w:t xml:space="preserve"> e </w:t>
      </w:r>
      <w:hyperlink r:id="rId136">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7">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3">
        <w:r>
          <w:rPr>
            <w:lang w:val="pt_PT" w:bidi="pt_PT"/>
          </w:rPr>
          <w:rPr>
            <w:color w:val="0000EE"/>
            <w:u w:val="single"/>
          </w:rPr>
          <w:t>8.18</w:t>
        </w:r>
      </w:hyperlink>
      <w:r>
        <w:rPr>
          <w:lang w:val="pt_PT" w:bidi="pt_PT"/>
        </w:rPr>
        <w:t xml:space="preserve"> e </w:t>
      </w:r>
      <w:hyperlink r:id="rId136">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38">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39">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6">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4">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3">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0">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1">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38">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4">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4">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2">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3">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39">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3">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4">
        <w:r>
          <w:rPr>
            <w:lang w:val="pt_PT" w:bidi="pt_PT"/>
          </w:rPr>
          <w:rPr>
            <w:color w:val="0000EE"/>
            <w:u w:val="single"/>
          </w:rPr>
          <w:t>9.10</w:t>
        </w:r>
      </w:hyperlink>
      <w:r>
        <w:rPr>
          <w:lang w:val="pt_PT" w:bidi="pt_PT"/>
        </w:rPr>
        <w:t xml:space="preserve"> e </w:t>
      </w:r>
      <w:hyperlink r:id="rId145">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6">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7">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48">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49">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3">
        <w:r>
          <w:rPr>
            <w:lang w:val="pt_PT" w:bidi="pt_PT"/>
          </w:rPr>
          <w:rPr>
            <w:color w:val="0000EE"/>
            <w:u w:val="single"/>
          </w:rPr>
          <w:t>9.1</w:t>
        </w:r>
      </w:hyperlink>
      <w:r>
        <w:rPr>
          <w:lang w:val="pt_PT" w:bidi="pt_PT"/>
        </w:rPr>
        <w:t xml:space="preserve"> e </w:t>
      </w:r>
      <w:hyperlink r:id="rId146">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0">
        <w:r>
          <w:rPr>
            <w:lang w:val="pt_PT" w:bidi="pt_PT"/>
          </w:rPr>
          <w:rPr>
            <w:color w:val="0000EE"/>
            <w:u w:val="single"/>
          </w:rPr>
          <w:t>9.6</w:t>
        </w:r>
      </w:hyperlink>
      <w:r>
        <w:rPr>
          <w:lang w:val="pt_PT" w:bidi="pt_PT"/>
        </w:rPr>
        <w:t xml:space="preserve"> e em </w:t>
      </w:r>
      <w:hyperlink r:id="rId151">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18">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2">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3">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2">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3">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4">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5">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6">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4">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3">
        <w:r>
          <w:rPr>
            <w:lang w:val="pt_PT" w:bidi="pt_PT"/>
          </w:rPr>
          <w:rPr>
            <w:color w:val="0000EE"/>
            <w:u w:val="single"/>
          </w:rPr>
          <w:t>9.1</w:t>
        </w:r>
      </w:hyperlink>
      <w:r>
        <w:rPr>
          <w:lang w:val="pt_PT" w:bidi="pt_PT"/>
        </w:rPr>
        <w:t xml:space="preserve"> e </w:t>
      </w:r>
      <w:hyperlink r:id="rId145">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0">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0">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6">
        <w:r>
          <w:rPr>
            <w:lang w:val="pt_PT" w:bidi="pt_PT"/>
          </w:rPr>
          <w:rPr>
            <w:color w:val="0000EE"/>
            <w:u w:val="single"/>
          </w:rPr>
          <w:t>9.2</w:t>
        </w:r>
      </w:hyperlink>
      <w:r>
        <w:rPr>
          <w:lang w:val="pt_PT" w:bidi="pt_PT"/>
        </w:rPr>
        <w:t xml:space="preserve"> e </w:t>
      </w:r>
      <w:hyperlink r:id="rId155">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5">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6">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7">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38">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58">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6">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59">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0">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1">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1">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2">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6">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3">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6">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3">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1">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64">
        <w:r>
          <w:rPr>
            <w:lang w:val="pt_PT" w:bidi="pt_PT"/>
          </w:rPr>
          <w:rPr>
            <w:color w:val="0000EE"/>
            <w:u w:val="single"/>
          </w:rPr>
          <w:t>7.5</w:t>
        </w:r>
      </w:hyperlink>
      <w:r>
        <w:rPr>
          <w:lang w:val="pt_PT" w:bidi="pt_PT"/>
        </w:rPr>
        <w:t>) foi o primeiro sumo sacerdote sob a lei de Moisés e o primeiro a servir no tabernáculo. Azarias (</w:t>
      </w:r>
      <w:hyperlink r:id="rId165">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7" TargetMode="External"/><Relationship Id="rId155" Type="http://schemas.openxmlformats.org/officeDocument/2006/relationships/hyperlink" Target="https://ref.ly/Ezra9:4" TargetMode="External"/><Relationship Id="rId156" Type="http://schemas.openxmlformats.org/officeDocument/2006/relationships/hyperlink" Target="https://ref.ly/Ezra10:2" TargetMode="External"/><Relationship Id="rId157" Type="http://schemas.openxmlformats.org/officeDocument/2006/relationships/hyperlink" Target="https://ref.ly/Ezra10:1" TargetMode="External"/><Relationship Id="rId158" Type="http://schemas.openxmlformats.org/officeDocument/2006/relationships/hyperlink" Target="https://ref.ly/Ezra10:10" TargetMode="External"/><Relationship Id="rId159" Type="http://schemas.openxmlformats.org/officeDocument/2006/relationships/hyperlink" Target="https://ref.ly/Ezra10:4" TargetMode="External"/><Relationship Id="rId160" Type="http://schemas.openxmlformats.org/officeDocument/2006/relationships/hyperlink" Target="https://ref.ly/Ezra10:16" TargetMode="External"/><Relationship Id="rId161" Type="http://schemas.openxmlformats.org/officeDocument/2006/relationships/hyperlink" Target="https://ref.ly/Ezra10:12" TargetMode="External"/><Relationship Id="rId162" Type="http://schemas.openxmlformats.org/officeDocument/2006/relationships/hyperlink" Target="https://ref.ly/Ezra10:7" TargetMode="External"/><Relationship Id="rId163" Type="http://schemas.openxmlformats.org/officeDocument/2006/relationships/hyperlink" Target="https://ref.ly/Ezra10:3" TargetMode="External"/><Relationship Id="rId164" Type="http://schemas.openxmlformats.org/officeDocument/2006/relationships/hyperlink" Target="https://ref.ly/Ezra7:5" TargetMode="External"/><Relationship Id="rId165"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