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13">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w:t>
      </w:r>
      <w:hyperlink r:id="rId14">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14">
        <w:r>
          <w:rPr>
            <w:lang w:val="en_US" w:bidi="en_US"/>
          </w:rPr>
          <w:rPr>
            <w:color w:val="0000EE"/>
            <w:u w:val="single"/>
          </w:rPr>
          <w:t>1:4</w:t>
        </w:r>
      </w:hyperlink>
      <w:r>
        <w:rPr>
          <w:lang w:val="en_US" w:bidi="en_US"/>
        </w:rPr>
        <w:t xml:space="preserve"> and the expression “the sons of Judah” in </w:t>
      </w:r>
      <w:hyperlink r:id="rId15">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3">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16">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17">
        <w:r>
          <w:rPr>
            <w:lang w:val="en_US" w:bidi="en_US"/>
          </w:rPr>
          <w:rPr>
            <w:color w:val="0000EE"/>
            <w:u w:val="single"/>
          </w:rPr>
          <w:t>Numbers 14:24</w:t>
        </w:r>
      </w:hyperlink>
      <w:r>
        <w:rPr>
          <w:lang w:val="en_US" w:bidi="en_US"/>
        </w:rPr>
        <w:t xml:space="preserve"> and Joshua had confirmed this in </w:t>
      </w:r>
      <w:hyperlink r:id="rId18">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19">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0">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1">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2">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3">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24">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25">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26">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27">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28">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29">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0">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1">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29">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3">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3">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3">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0">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35">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1">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14">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xml:space="preserve"> and </w:t>
      </w:r>
      <w:hyperlink r:id="rId37">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2">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1">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38">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39">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39">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0">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42">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2">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42">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2">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2">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43">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44">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45">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47">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49">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50">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51">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w:t>
      </w:r>
      <w:hyperlink r:id="rId52">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49">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3">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54">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55">
        <w:r>
          <w:rPr>
            <w:lang w:val="en_US" w:bidi="en_US"/>
          </w:rPr>
          <w:rPr>
            <w:color w:val="0000EE"/>
            <w:u w:val="single"/>
          </w:rPr>
          <w:t>5:7</w:t>
        </w:r>
      </w:hyperlink>
      <w:r>
        <w:rPr>
          <w:lang w:val="en_US" w:bidi="en_US"/>
        </w:rPr>
        <w:t xml:space="preserve"> and probably did in </w:t>
      </w:r>
      <w:hyperlink r:id="rId56">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57">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58">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59">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54">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59">
        <w:r>
          <w:rPr>
            <w:lang w:val="en_US" w:bidi="en_US"/>
          </w:rPr>
          <w:rPr>
            <w:color w:val="0000EE"/>
            <w:u w:val="single"/>
          </w:rPr>
          <w:t>4:10</w:t>
        </w:r>
      </w:hyperlink>
      <w:r>
        <w:rPr>
          <w:lang w:val="en_US" w:bidi="en_US"/>
        </w:rPr>
        <w:t xml:space="preserve">, it is likely that he blew a shofar (ram’s horn), as Ehud did in </w:t>
      </w:r>
      <w:hyperlink r:id="rId60">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61">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62">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50">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63">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64">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0">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6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65">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66">
        <w:r>
          <w:rPr>
            <w:lang w:val="en_US" w:bidi="en_US"/>
          </w:rPr>
          <w:rPr>
            <w:color w:val="0000EE"/>
            <w:u w:val="single"/>
          </w:rPr>
          <w:t>20:1</w:t>
        </w:r>
      </w:hyperlink>
      <w:r>
        <w:rPr>
          <w:lang w:val="en_US" w:bidi="en_US"/>
        </w:rPr>
        <w:t xml:space="preserve">, </w:t>
      </w:r>
      <w:hyperlink r:id="rId67">
        <w:r>
          <w:rPr>
            <w:lang w:val="en_US" w:bidi="en_US"/>
          </w:rPr>
          <w:rPr>
            <w:color w:val="0000EE"/>
            <w:u w:val="single"/>
          </w:rPr>
          <w:t>20:8</w:t>
        </w:r>
      </w:hyperlink>
      <w:r>
        <w:rPr>
          <w:lang w:val="en_US" w:bidi="en_US"/>
        </w:rPr>
        <w:t xml:space="preserve">, </w:t>
      </w:r>
      <w:hyperlink r:id="rId68">
        <w:r>
          <w:rPr>
            <w:lang w:val="en_US" w:bidi="en_US"/>
          </w:rPr>
          <w:rPr>
            <w:color w:val="0000EE"/>
            <w:u w:val="single"/>
          </w:rPr>
          <w:t>20:11</w:t>
        </w:r>
      </w:hyperlink>
      <w:r>
        <w:rPr>
          <w:lang w:val="en_US" w:bidi="en_US"/>
        </w:rPr>
        <w:t xml:space="preserve">, and </w:t>
      </w:r>
      <w:hyperlink r:id="rId69">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70">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71">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72">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74">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2">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75">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76">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77">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54">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74">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78">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79">
        <w:r>
          <w:rPr>
            <w:lang w:val="en_US" w:bidi="en_US"/>
          </w:rPr>
          <w:rPr>
            <w:color w:val="0000EE"/>
            <w:u w:val="single"/>
          </w:rPr>
          <w:t>7:24</w:t>
        </w:r>
      </w:hyperlink>
      <w:r>
        <w:rPr>
          <w:lang w:val="en_US" w:bidi="en_US"/>
        </w:rPr>
        <w:t xml:space="preserve"> and that the events of </w:t>
      </w:r>
      <w:hyperlink r:id="rId80">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59">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64">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81">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82">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83">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84">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85">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86">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87">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3">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0">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29">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88">
        <w:r>
          <w:rPr>
            <w:lang w:val="en_US" w:bidi="en_US"/>
          </w:rPr>
          <w:rPr>
            <w:color w:val="0000EE"/>
            <w:u w:val="single"/>
          </w:rPr>
          <w:t>6:32</w:t>
        </w:r>
      </w:hyperlink>
      <w:r>
        <w:rPr>
          <w:lang w:val="en_US" w:bidi="en_US"/>
        </w:rPr>
        <w:t xml:space="preserve"> and </w:t>
      </w:r>
      <w:hyperlink r:id="rId89">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90">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3">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91">
        <w:r>
          <w:rPr>
            <w:lang w:val="en_US" w:bidi="en_US"/>
          </w:rPr>
          <w:rPr>
            <w:color w:val="0000EE"/>
            <w:u w:val="single"/>
          </w:rPr>
          <w:t>9:4</w:t>
        </w:r>
      </w:hyperlink>
      <w:r>
        <w:rPr>
          <w:lang w:val="en_US" w:bidi="en_US"/>
        </w:rPr>
        <w:t xml:space="preserve"> and in the form El-Berith (which means “god of the covenant”) in </w:t>
      </w:r>
      <w:hyperlink r:id="rId92">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3">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92">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94">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95">
        <w:r>
          <w:rPr>
            <w:lang w:val="en_US" w:bidi="en_US"/>
          </w:rPr>
          <w:rPr>
            <w:color w:val="0000EE"/>
            <w:u w:val="single"/>
          </w:rPr>
          <w:t>Deuteronomy 11:29</w:t>
        </w:r>
      </w:hyperlink>
      <w:r>
        <w:rPr>
          <w:lang w:val="en_US" w:bidi="en_US"/>
        </w:rPr>
        <w:t xml:space="preserve"> and </w:t>
      </w:r>
      <w:hyperlink r:id="rId96">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97">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98">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9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9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98">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9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9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00">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01">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02">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03">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04">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02">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02">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05">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06">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07">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08">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91">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04">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09">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10">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2">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46">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11">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54">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w:t>
      </w:r>
      <w:hyperlink r:id="rId112">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13">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14">
        <w:r>
          <w:rPr>
            <w:lang w:val="en_US" w:bidi="en_US"/>
          </w:rPr>
          <w:rPr>
            <w:color w:val="0000EE"/>
            <w:u w:val="single"/>
          </w:rPr>
          <w:t>9:25</w:t>
        </w:r>
      </w:hyperlink>
      <w:r>
        <w:rPr>
          <w:lang w:val="en_US" w:bidi="en_US"/>
        </w:rPr>
        <w:t xml:space="preserve"> and as “hide” in </w:t>
      </w:r>
      <w:hyperlink r:id="rId113">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15">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16">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11">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17">
        <w:r>
          <w:rPr>
            <w:lang w:val="en_US" w:bidi="en_US"/>
          </w:rPr>
          <w:rPr>
            <w:color w:val="0000EE"/>
            <w:u w:val="single"/>
          </w:rPr>
          <w:t>9:34–38</w:t>
        </w:r>
      </w:hyperlink>
      <w:r>
        <w:rPr>
          <w:lang w:val="en_US" w:bidi="en_US"/>
        </w:rPr>
        <w:t xml:space="preserve">. In its second instance, this expression refers to the citizens of Shechem, as in </w:t>
      </w:r>
      <w:hyperlink r:id="rId118">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13">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19">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91">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20">
        <w:r>
          <w:rPr>
            <w:lang w:val="en_US" w:bidi="en_US"/>
          </w:rPr>
          <w:rPr>
            <w:color w:val="0000EE"/>
            <w:u w:val="single"/>
          </w:rPr>
          <w:t>8:33</w:t>
        </w:r>
      </w:hyperlink>
      <w:r>
        <w:rPr>
          <w:lang w:val="en_US" w:bidi="en_US"/>
        </w:rPr>
        <w:t xml:space="preserve"> and </w:t>
      </w:r>
      <w:hyperlink r:id="rId91">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21">
        <w:r>
          <w:rPr>
            <w:lang w:val="en_US" w:bidi="en_US"/>
          </w:rPr>
          <w:rPr>
            <w:color w:val="0000EE"/>
            <w:u w:val="single"/>
          </w:rPr>
          <w:t>1 Samuel 14:34</w:t>
        </w:r>
      </w:hyperlink>
      <w:r>
        <w:rPr>
          <w:lang w:val="en_US" w:bidi="en_US"/>
        </w:rPr>
        <w:t xml:space="preserve"> and </w:t>
      </w:r>
      <w:hyperlink r:id="rId122">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23">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23">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55">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36">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24">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25">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26">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13">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27">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28">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29">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30">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31">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32">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33">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83">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34">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35">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0">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36">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37">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38">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39">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w:t>
      </w:r>
      <w:hyperlink r:id="rId140">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41">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62">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42">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43">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59">
        <w:r>
          <w:rPr>
            <w:lang w:val="en_US" w:bidi="en_US"/>
          </w:rPr>
          <w:rPr>
            <w:color w:val="0000EE"/>
            <w:u w:val="single"/>
          </w:rPr>
          <w:t>4:10</w:t>
        </w:r>
      </w:hyperlink>
      <w:r>
        <w:rPr>
          <w:lang w:val="en_US" w:bidi="en_US"/>
        </w:rPr>
        <w:t xml:space="preserve"> and Gideon did in </w:t>
      </w:r>
      <w:hyperlink r:id="rId144">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45">
        <w:r>
          <w:rPr>
            <w:lang w:val="en_US" w:bidi="en_US"/>
          </w:rPr>
          <w:rPr>
            <w:color w:val="0000EE"/>
            <w:u w:val="single"/>
          </w:rPr>
          <w:t>11:32</w:t>
        </w:r>
      </w:hyperlink>
      <w:r>
        <w:rPr>
          <w:lang w:val="en_US" w:bidi="en_US"/>
        </w:rPr>
        <w:t xml:space="preserve"> describes the same thing as the last sentence of </w:t>
      </w:r>
      <w:hyperlink r:id="rId146">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47">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48">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49">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50">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51">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36">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52">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41">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53">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54">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w:t>
      </w:r>
      <w:hyperlink r:id="rId155">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70">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56">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57">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58">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59">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70">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60">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59">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61">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62">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64">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65">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66">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67">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68">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67">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69">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67">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69">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71">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72">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72">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73">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174">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175">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176">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77">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178">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179">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180">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181">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66">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66">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179">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182">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183">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184">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185">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186">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187">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188">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66">
        <w:r>
          <w:rPr>
            <w:lang w:val="en_US" w:bidi="en_US"/>
          </w:rPr>
          <w:rPr>
            <w:color w:val="0000EE"/>
            <w:u w:val="single"/>
          </w:rPr>
          <w:t>16:5</w:t>
        </w:r>
      </w:hyperlink>
      <w:r>
        <w:rPr>
          <w:lang w:val="en_US" w:bidi="en_US"/>
        </w:rPr>
        <w:t xml:space="preserve"> and </w:t>
      </w:r>
      <w:hyperlink r:id="rId189">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190">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181">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181">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77">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05">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27">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91">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27">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5">
        <w:r>
          <w:rPr>
            <w:lang w:val="en_US" w:bidi="en_US"/>
          </w:rPr>
          <w:rPr>
            <w:color w:val="0000EE"/>
            <w:u w:val="single"/>
          </w:rPr>
          <w:t>1:8</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92">
        <w:r>
          <w:rPr>
            <w:lang w:val="en_US" w:bidi="en_US"/>
          </w:rPr>
          <w:rPr>
            <w:color w:val="0000EE"/>
            <w:u w:val="single"/>
          </w:rPr>
          <w:t>1:3</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193">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39">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194">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54">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195">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50">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196">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3">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61">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52">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197">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198">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199">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200">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55">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56">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201">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202">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50">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49">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203">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204">
        <w:r>
          <w:rPr>
            <w:lang w:val="en_US" w:bidi="en_US"/>
          </w:rPr>
          <w:rPr>
            <w:color w:val="0000EE"/>
            <w:u w:val="single"/>
          </w:rPr>
          <w:t>6:6</w:t>
        </w:r>
      </w:hyperlink>
      <w:r>
        <w:rPr>
          <w:lang w:val="en_US" w:bidi="en_US"/>
        </w:rPr>
        <w:t xml:space="preserve"> states, the Midianites had reduced the Israelites to poverty. In </w:t>
      </w:r>
      <w:hyperlink r:id="rId205">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76">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206">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207">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208">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206">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209">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210">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211">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212">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77">
        <w:r>
          <w:rPr>
            <w:lang w:val="en_US" w:bidi="en_US"/>
          </w:rPr>
          <w:rPr>
            <w:color w:val="0000EE"/>
            <w:u w:val="single"/>
          </w:rPr>
          <w:t>17:6</w:t>
        </w:r>
      </w:hyperlink>
      <w:r>
        <w:rPr>
          <w:lang w:val="en_US" w:bidi="en_US"/>
        </w:rPr>
        <w:t xml:space="preserve"> and </w:t>
      </w:r>
      <w:hyperlink r:id="rId213">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