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r>
        <w:rPr>
          <w:lang w:val="id_ID" w:bidi="id_ID"/>
        </w:rPr>
        <w:t>1:10</w:t>
      </w:r>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r>
        <w:rPr>
          <w:lang w:val="id_ID" w:bidi="id_ID"/>
        </w:rPr>
        <w:t>1:3</w:t>
      </w:r>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r>
        <w:rPr>
          <w:lang w:val="id_ID" w:bidi="id_ID"/>
        </w:rPr>
        <w:t>1:2</w:t>
      </w:r>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r>
        <w:rPr>
          <w:lang w:val="id_ID" w:bidi="id_ID"/>
        </w:rPr>
        <w:t>1:4</w:t>
      </w:r>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r>
        <w:rPr>
          <w:lang w:val="id_ID" w:bidi="id_ID"/>
        </w:rPr>
        <w:t>1:6</w:t>
      </w:r>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r>
        <w:rPr>
          <w:lang w:val="id_ID" w:bidi="id_ID"/>
        </w:rPr>
        <w:t>1:7</w:t>
      </w:r>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r>
        <w:rPr>
          <w:lang w:val="id_ID" w:bidi="id_ID"/>
        </w:rPr>
        <w:t>1:8</w:t>
      </w:r>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r>
        <w:rPr>
          <w:lang w:val="id_ID" w:bidi="id_ID"/>
        </w:rPr>
        <w:t>1:9</w:t>
      </w:r>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r>
        <w:rPr>
          <w:lang w:val="id_ID" w:bidi="id_ID"/>
        </w:rPr>
        <w:t>1:9</w:t>
      </w:r>
      <w:r>
        <w:rPr>
          <w:lang w:val="id_ID" w:bidi="id_ID"/>
        </w:rPr>
        <w:t xml:space="preserve">). Penjelasan ini dapat ditemukan dalam </w:t>
      </w:r>
      <w:r>
        <w:rPr>
          <w:lang w:val="id_ID" w:bidi="id_ID"/>
        </w:rPr>
        <w:t>2:1–12</w:t>
      </w:r>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r>
        <w:rPr>
          <w:lang w:val="id_ID" w:bidi="id_ID"/>
        </w:rPr>
        <w:t>1:9</w:t>
      </w:r>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r>
        <w:rPr>
          <w:lang w:val="id_ID" w:bidi="id_ID"/>
        </w:rPr>
        <w:t>2:1</w:t>
      </w:r>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r>
        <w:rPr>
          <w:lang w:val="id_ID" w:bidi="id_ID"/>
        </w:rPr>
        <w:t>Kisah Para Rasul 16:16–40</w:t>
      </w:r>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r>
        <w:rPr>
          <w:lang w:val="id_ID" w:bidi="id_ID"/>
        </w:rPr>
        <w:t>2:2</w:t>
      </w:r>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r>
        <w:rPr>
          <w:lang w:val="id_ID" w:bidi="id_ID"/>
        </w:rPr>
        <w:t>2:8</w:t>
      </w:r>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r>
        <w:rPr>
          <w:lang w:val="id_ID" w:bidi="id_ID"/>
        </w:rPr>
        <w:t>2:2</w:t>
      </w:r>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r>
        <w:rPr>
          <w:lang w:val="id_ID" w:bidi="id_ID"/>
        </w:rPr>
        <w:t>2:8</w:t>
      </w:r>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r>
        <w:rPr>
          <w:lang w:val="id_ID" w:bidi="id_ID"/>
        </w:rPr>
        <w:t>2:10</w:t>
      </w:r>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r>
        <w:rPr>
          <w:lang w:val="id_ID" w:bidi="id_ID"/>
        </w:rPr>
        <w:t>1:8–10</w:t>
      </w:r>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r>
        <w:rPr>
          <w:lang w:val="id_ID" w:bidi="id_ID"/>
        </w:rPr>
        <w:t>1:2</w:t>
      </w:r>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r>
        <w:rPr>
          <w:lang w:val="id_ID" w:bidi="id_ID"/>
        </w:rPr>
        <w:t>2:15</w:t>
      </w:r>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r>
        <w:rPr>
          <w:lang w:val="id_ID" w:bidi="id_ID"/>
        </w:rPr>
        <w:t>2:15</w:t>
      </w:r>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r>
        <w:rPr>
          <w:lang w:val="id_ID" w:bidi="id_ID"/>
        </w:rPr>
        <w:t>1:10</w:t>
      </w:r>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r>
        <w:rPr>
          <w:lang w:val="id_ID" w:bidi="id_ID"/>
        </w:rPr>
        <w:t>Kisah Para Rasul 17:1–10</w:t>
      </w:r>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r>
        <w:rPr>
          <w:lang w:val="id_ID" w:bidi="id_ID"/>
        </w:rPr>
        <w:t>Kisah Para Rasul 17:1–10</w:t>
      </w:r>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r>
        <w:rPr>
          <w:lang w:val="id_ID" w:bidi="id_ID"/>
        </w:rPr>
        <w:t>2:19</w:t>
      </w:r>
      <w:r>
        <w:rPr>
          <w:lang w:val="id_ID" w:bidi="id_ID"/>
        </w:rPr>
        <w:t xml:space="preserve">). Terjemahan alternatif: “Ya,” (2) dasar dari poin yang Paulus sampaikan dalam ayat sebelumnya (Lihat: </w:t>
      </w:r>
      <w:r>
        <w:rPr>
          <w:lang w:val="id_ID" w:bidi="id_ID"/>
        </w:rPr>
        <w:t>2:19</w:t>
      </w:r>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r>
        <w:rPr>
          <w:lang w:val="id_ID" w:bidi="id_ID"/>
        </w:rPr>
        <w:t>2:17–20</w:t>
      </w:r>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τὸ 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r>
        <w:rPr>
          <w:lang w:val="id_ID" w:bidi="id_ID"/>
        </w:rPr>
        <w:t>3:2</w:t>
      </w:r>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r>
        <w:rPr>
          <w:lang w:val="id_ID" w:bidi="id_ID"/>
        </w:rPr>
        <w:t>3:3</w:t>
      </w:r>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r>
        <w:rPr>
          <w:lang w:val="id_ID" w:bidi="id_ID"/>
        </w:rPr>
        <w:t>3:4</w:t>
      </w:r>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r>
        <w:rPr>
          <w:lang w:val="id_ID" w:bidi="id_ID"/>
        </w:rPr>
        <w:t>3:1</w:t>
      </w:r>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r>
        <w:rPr>
          <w:lang w:val="id_ID" w:bidi="id_ID"/>
        </w:rPr>
        <w:t>3:1</w:t>
      </w:r>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r>
        <w:rPr>
          <w:lang w:val="id_ID" w:bidi="id_ID"/>
        </w:rPr>
        <w:t>3:7</w:t>
      </w:r>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r>
        <w:rPr>
          <w:lang w:val="id_ID" w:bidi="id_ID"/>
        </w:rPr>
        <w:t>1:3</w:t>
      </w:r>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r>
        <w:rPr>
          <w:lang w:val="id_ID" w:bidi="id_ID"/>
        </w:rPr>
        <w:t>3:12</w:t>
      </w:r>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r>
        <w:rPr>
          <w:lang w:val="id_ID" w:bidi="id_ID"/>
        </w:rPr>
        <w:t>3:11</w:t>
      </w:r>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r>
        <w:rPr>
          <w:lang w:val="id_ID" w:bidi="id_ID"/>
        </w:rPr>
        <w:t>2:12</w:t>
      </w:r>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r>
        <w:rPr>
          <w:lang w:val="id_ID" w:bidi="id_ID"/>
        </w:rPr>
        <w:t>4:1</w:t>
      </w:r>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r>
        <w:rPr>
          <w:lang w:val="id_ID" w:bidi="id_ID"/>
        </w:rPr>
        <w:t>4:2</w:t>
      </w:r>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r>
        <w:rPr>
          <w:lang w:val="id_ID" w:bidi="id_ID"/>
        </w:rPr>
        <w:t>4:4–6</w:t>
      </w:r>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r>
        <w:rPr>
          <w:lang w:val="id_ID" w:bidi="id_ID"/>
        </w:rPr>
        <w:t>4:3</w:t>
      </w:r>
      <w:r>
        <w:rPr>
          <w:lang w:val="id_ID" w:bidi="id_ID"/>
        </w:rPr>
        <w:t xml:space="preserve">). Terjemahan alternatif: “dan supaya kamu masing-masing tahu” (2) menjelaskan secara lebih spesifik apa yang dimaksud dengan menghindari ‘percabulan’ (Lihat: </w:t>
      </w:r>
      <w:r>
        <w:rPr>
          <w:lang w:val="id_ID" w:bidi="id_ID"/>
        </w:rPr>
        <w:t>4:3</w:t>
      </w:r>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r>
        <w:rPr>
          <w:lang w:val="id_ID" w:bidi="id_ID"/>
        </w:rPr>
        <w:t>4:4</w:t>
      </w:r>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r>
        <w:rPr>
          <w:lang w:val="id_ID" w:bidi="id_ID"/>
        </w:rPr>
        <w:t>4:3–5</w:t>
      </w:r>
      <w:r>
        <w:rPr>
          <w:lang w:val="id_ID" w:bidi="id_ID"/>
        </w:rPr>
        <w:t xml:space="preserve"> tentang menjauhkan diri dari percabulan. Terjemahan alternatif: “supaya tidak melanggar” (2) contoh lain dari arti ‘pengudusan’ (Lihat: </w:t>
      </w:r>
      <w:r>
        <w:rPr>
          <w:lang w:val="id_ID" w:bidi="id_ID"/>
        </w:rPr>
        <w:t>4:3</w:t>
      </w:r>
      <w:r>
        <w:rPr>
          <w:lang w:val="id_ID" w:bidi="id_ID"/>
        </w:rPr>
        <w:t xml:space="preserve">). Terjemahan alternatif: “dan supaya kamu masing-masing jangan melanggar” (3) penjelasan lain tentang apa yang dimaksud dengan menghindari ‘percabulan’ (Lihat: </w:t>
      </w:r>
      <w:r>
        <w:rPr>
          <w:lang w:val="id_ID" w:bidi="id_ID"/>
        </w:rPr>
        <w:t>4:3</w:t>
      </w:r>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r>
        <w:rPr>
          <w:lang w:val="id_ID" w:bidi="id_ID"/>
        </w:rPr>
        <w:t>4:3–6</w:t>
      </w:r>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r>
        <w:rPr>
          <w:lang w:val="id_ID" w:bidi="id_ID"/>
        </w:rPr>
        <w:t>4:3–7</w:t>
      </w:r>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r>
        <w:rPr>
          <w:lang w:val="id_ID" w:bidi="id_ID"/>
        </w:rPr>
        <w:t>4:9</w:t>
      </w:r>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r>
        <w:rPr>
          <w:lang w:val="id_ID" w:bidi="id_ID"/>
        </w:rPr>
        <w:t>4:9</w:t>
      </w:r>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r>
        <w:rPr>
          <w:lang w:val="id_ID" w:bidi="id_ID"/>
        </w:rPr>
        <w:t>4:10–11</w:t>
      </w:r>
      <w:r>
        <w:rPr>
          <w:lang w:val="id_ID" w:bidi="id_ID"/>
        </w:rPr>
        <w:t xml:space="preserve">. Terjemahan alternatif: “dengan hasil bahwa” (2) tujuan dari melakukan apa yang telah diperintahkan oleh Paulus dalam </w:t>
      </w:r>
      <w:r>
        <w:rPr>
          <w:lang w:val="id_ID" w:bidi="id_ID"/>
        </w:rPr>
        <w:t>4:10–11</w:t>
      </w:r>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r>
        <w:rPr>
          <w:lang w:val="id_ID" w:bidi="id_ID"/>
        </w:rPr>
        <w:t>4:13</w:t>
      </w:r>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r>
        <w:rPr>
          <w:lang w:val="id_ID" w:bidi="id_ID"/>
        </w:rPr>
        <w:t>3:13</w:t>
      </w:r>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r>
        <w:rPr>
          <w:lang w:val="id_ID" w:bidi="id_ID"/>
        </w:rPr>
        <w:t>4:16</w:t>
      </w:r>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r>
        <w:rPr>
          <w:lang w:val="id_ID" w:bidi="id_ID"/>
        </w:rPr>
        <w:t>4:13–14</w:t>
      </w:r>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r>
        <w:rPr>
          <w:lang w:val="id_ID" w:bidi="id_ID"/>
        </w:rPr>
        <w:t>4:15</w:t>
      </w:r>
      <w:r>
        <w:rPr>
          <w:lang w:val="id_ID" w:bidi="id_ID"/>
        </w:rPr>
        <w:t xml:space="preserve">). Penjelasan ini berlanjut dalam </w:t>
      </w:r>
      <w:r>
        <w:rPr>
          <w:lang w:val="id_ID" w:bidi="id_ID"/>
        </w:rPr>
        <w:t>4:17</w:t>
      </w:r>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r>
        <w:rPr>
          <w:lang w:val="id_ID" w:bidi="id_ID"/>
        </w:rPr>
        <w:t>4:15</w:t>
      </w:r>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r>
        <w:rPr>
          <w:lang w:val="id_ID" w:bidi="id_ID"/>
        </w:rPr>
        <w:t>4:13–17</w:t>
      </w:r>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r>
        <w:rPr>
          <w:lang w:val="id_ID" w:bidi="id_ID"/>
        </w:rPr>
        <w:t>5:2</w:t>
      </w:r>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r>
        <w:rPr>
          <w:lang w:val="id_ID" w:bidi="id_ID"/>
        </w:rPr>
        <w:t>5:2</w:t>
      </w:r>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r>
        <w:rPr>
          <w:lang w:val="id_ID" w:bidi="id_ID"/>
        </w:rPr>
        <w:t>5:2</w:t>
      </w:r>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r>
        <w:rPr>
          <w:lang w:val="id_ID" w:bidi="id_ID"/>
        </w:rPr>
        <w:t>5:8</w:t>
      </w:r>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r>
        <w:rPr>
          <w:lang w:val="id_ID" w:bidi="id_ID"/>
        </w:rPr>
        <w:t>5:7</w:t>
      </w:r>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r>
        <w:rPr>
          <w:lang w:val="id_ID" w:bidi="id_ID"/>
        </w:rPr>
        <w:t>5:5</w:t>
      </w:r>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r>
        <w:rPr>
          <w:lang w:val="id_ID" w:bidi="id_ID"/>
        </w:rPr>
        <w:t>5:7</w:t>
      </w:r>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r>
        <w:rPr>
          <w:lang w:val="id_ID" w:bidi="id_ID"/>
        </w:rPr>
        <w:t>5:6–8</w:t>
      </w:r>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r>
        <w:rPr>
          <w:lang w:val="id_ID" w:bidi="id_ID"/>
        </w:rPr>
        <w:t>5:16–18</w:t>
      </w:r>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r>
        <w:rPr>
          <w:lang w:val="id_ID" w:bidi="id_ID"/>
        </w:rPr>
        <w:t>5:16–18</w:t>
      </w:r>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r>
        <w:rPr>
          <w:lang w:val="id_ID" w:bidi="id_ID"/>
        </w:rPr>
        <w:t>5:19</w:t>
      </w:r>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r>
        <w:rPr>
          <w:lang w:val="id_ID" w:bidi="id_ID"/>
        </w:rPr>
        <w:t>5:20</w:t>
      </w:r>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r>
        <w:rPr>
          <w:lang w:val="id_ID" w:bidi="id_ID"/>
        </w:rPr>
        <w:t>5:22</w:t>
      </w:r>
      <w:r>
        <w:rPr>
          <w:lang w:val="id_ID" w:bidi="id_ID"/>
        </w:rPr>
        <w:t xml:space="preserve">), Paulus mungkin mengacu pada: (1) “nubuat-nubuat” yang ia rujuk dalam </w:t>
      </w:r>
      <w:r>
        <w:rPr>
          <w:lang w:val="id_ID" w:bidi="id_ID"/>
        </w:rPr>
        <w:t>5:20</w:t>
      </w:r>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r>
        <w:rPr>
          <w:lang w:val="id_ID" w:bidi="id_ID"/>
        </w:rPr>
        <w:t>Roma 15:33</w:t>
      </w:r>
      <w:r>
        <w:rPr>
          <w:lang w:val="id_ID" w:bidi="id_ID"/>
        </w:rPr>
        <w:t xml:space="preserve">; </w:t>
      </w:r>
      <w:r>
        <w:rPr>
          <w:lang w:val="id_ID" w:bidi="id_ID"/>
        </w:rPr>
        <w:t>16:20</w:t>
      </w:r>
      <w:r>
        <w:rPr>
          <w:lang w:val="id_ID" w:bidi="id_ID"/>
        </w:rPr>
        <w:t xml:space="preserve">; </w:t>
      </w:r>
      <w:r>
        <w:rPr>
          <w:lang w:val="id_ID" w:bidi="id_ID"/>
        </w:rPr>
        <w:t>Filipi 4:9</w:t>
      </w:r>
      <w:r>
        <w:rPr>
          <w:lang w:val="id_ID" w:bidi="id_ID"/>
        </w:rPr>
        <w:t xml:space="preserve">; </w:t>
      </w:r>
      <w:r>
        <w:rPr>
          <w:lang w:val="id_ID" w:bidi="id_ID"/>
        </w:rPr>
        <w:t>Ibrani 13:20</w:t>
      </w:r>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r>
        <w:rPr>
          <w:lang w:val="id_ID" w:bidi="id_ID"/>
        </w:rPr>
        <w:t>4:15</w:t>
      </w:r>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r>
        <w:rPr>
          <w:lang w:val="id_ID" w:bidi="id_ID"/>
        </w:rPr>
        <w:t>5:23</w:t>
      </w:r>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r>
        <w:rPr>
          <w:lang w:val="id_ID" w:bidi="id_ID"/>
        </w:rPr>
        <w:t>5:23</w:t>
      </w:r>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r>
        <w:rPr>
          <w:lang w:val="id_ID" w:bidi="id_ID"/>
        </w:rPr>
        <w:t>5:23</w:t>
      </w:r>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