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João - Introdução</w:t>
      </w:r>
      <w:r/>
    </w:p>
    <w:p>
      <w:pPr>
        <w:pStyle w:val="Heading3"/>
      </w:pPr>
      <w:r>
        <w:t>Parte 1: Introdução geral</w:t>
      </w:r>
    </w:p>
    <w:p>
      <w:pPr>
        <w:pStyle w:val="Heading4"/>
      </w:pPr>
      <w:r>
        <w:t>Esboço do livro de 2 João</w:t>
      </w:r>
    </w:p>
    <w:p>
      <w:pPr>
        <w:pStyle w:val="ListNumber"/>
        <w:spacing w:line="240" w:lineRule="auto"/>
        <w:ind w:left="720"/>
      </w:pPr>
      <w:r/>
      <w:r>
        <w:t>Abertura da carta (1.1–3)</w:t>
      </w:r>
    </w:p>
    <w:p>
      <w:pPr>
        <w:pStyle w:val="ListNumber"/>
        <w:spacing w:line="240" w:lineRule="auto"/>
        <w:ind w:left="720"/>
      </w:pPr>
      <w:r/>
      <w:r>
        <w:t>Encorajamento e o mandamento de amar uns aos outros (1.4–6)</w:t>
      </w:r>
    </w:p>
    <w:p>
      <w:pPr>
        <w:pStyle w:val="ListNumber"/>
        <w:spacing w:line="240" w:lineRule="auto"/>
        <w:ind w:left="720"/>
      </w:pPr>
      <w:r/>
      <w:r>
        <w:t>Aviso sobre falsos mestres (1.7–11)</w:t>
      </w:r>
    </w:p>
    <w:p>
      <w:pPr>
        <w:pStyle w:val="ListNumber"/>
        <w:spacing w:line="240" w:lineRule="auto"/>
        <w:ind w:left="720"/>
      </w:pPr>
      <w:r/>
      <w:r>
        <w:t>Fechamento da carta (1.12–13)</w:t>
      </w:r>
    </w:p>
    <w:p>
      <w:pPr>
        <w:pStyle w:val="Heading4"/>
      </w:pPr>
      <w:r>
        <w:t>Quem escreveu o livro de 2 João?</w:t>
      </w:r>
    </w:p>
    <w:p>
      <w:r/>
      <w: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t>Para quem o livro de 2 João foi escrito?</w:t>
      </w:r>
    </w:p>
    <w:p>
      <w:r/>
      <w: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t>Qual é o tema do livro de 2 João?</w:t>
      </w:r>
    </w:p>
    <w:p>
      <w:r/>
      <w: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t>Como o título deste livro deve ser traduzido?</w:t>
      </w:r>
    </w:p>
    <w:p>
      <w:r/>
      <w:r>
        <w:t xml:space="preserve">Os tradutores podem optar por chamar este livro por seu título tradicional, “2 João” ou “Segundo João”. Ou podem escolher um título diferente, como “A segunda carta de João” ou “A segunda carta que João escreveu”. (Veja: </w:t>
      </w:r>
      <w:r>
        <w:t>Como traduzir nomes</w:t>
      </w:r>
      <w:r>
        <w:t>)</w:t>
      </w:r>
    </w:p>
    <w:p>
      <w:pPr>
        <w:pStyle w:val="Heading3"/>
      </w:pPr>
      <w:r>
        <w:t>Parte 2: Conceitos religiosos e culturais importantes</w:t>
      </w:r>
    </w:p>
    <w:p>
      <w:pPr>
        <w:pStyle w:val="Heading4"/>
      </w:pPr>
      <w:r>
        <w:t>O que é hospitalidade?</w:t>
      </w:r>
    </w:p>
    <w:p>
      <w:r/>
      <w: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t>Contra quem João falou?</w:t>
      </w:r>
    </w:p>
    <w:p>
      <w:r/>
      <w: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t>Mal</w:t>
      </w:r>
      <w:r>
        <w:t>)</w:t>
      </w:r>
    </w:p>
    <w:p>
      <w:pPr>
        <w:pStyle w:val="Heading3"/>
      </w:pPr>
      <w:r>
        <w:t>Parte 3: Questões importantes de tradução</w:t>
      </w:r>
    </w:p>
    <w:p>
      <w:pPr>
        <w:pStyle w:val="Heading4"/>
      </w:pPr>
      <w:r>
        <w:t>Quem é a "senhora eleita" de 2 João 1.1?</w:t>
      </w:r>
    </w:p>
    <w:p>
      <w:r/>
      <w: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t>Quais são os principais problemas textuais no livro de 2 João?</w:t>
      </w:r>
    </w:p>
    <w:p>
      <w:r/>
      <w:r>
        <w:t xml:space="preserve">Em </w:t>
      </w:r>
      <w:hyperlink r:id="rId15">
        <w:r>
          <w:rPr>
            <w:color w:val="0000EE"/>
            <w:u w:val="single"/>
          </w:rPr>
          <w:t>1.8</w:t>
        </w:r>
      </w:hyperlink>
      <w: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r/>
      <w:r>
        <w:t xml:space="preserve">Em </w:t>
      </w:r>
      <w:hyperlink r:id="rId16">
        <w:r>
          <w:rPr>
            <w:color w:val="0000EE"/>
            <w:u w:val="single"/>
          </w:rPr>
          <w:t>1.12</w:t>
        </w:r>
      </w:hyperlink>
      <w: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t>Variantes textuais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