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João - Introdução</w:t>
      </w:r>
      <w:r/>
    </w:p>
    <w:p>
      <w:pPr>
        <w:pStyle w:val="Heading3"/>
      </w:pPr>
      <w:r>
        <w:t>Parte 1: Introdução geral</w:t>
      </w:r>
    </w:p>
    <w:p>
      <w:pPr>
        <w:pStyle w:val="Heading4"/>
      </w:pPr>
      <w:r>
        <w:t>Esboço do livro de 3 João</w:t>
      </w:r>
    </w:p>
    <w:p>
      <w:pPr>
        <w:pStyle w:val="ListNumber"/>
        <w:spacing w:line="240" w:lineRule="auto"/>
        <w:ind w:left="720"/>
      </w:pPr>
      <w:r/>
      <w:r>
        <w:t>Introdução (1.1)</w:t>
      </w:r>
    </w:p>
    <w:p>
      <w:pPr>
        <w:pStyle w:val="ListNumber"/>
        <w:spacing w:line="240" w:lineRule="auto"/>
        <w:ind w:left="720"/>
      </w:pPr>
      <w:r/>
      <w:r>
        <w:t>Encorajamento e instruções para demonstrar hospitalidade (1.2–8)</w:t>
      </w:r>
    </w:p>
    <w:p>
      <w:pPr>
        <w:pStyle w:val="ListNumber"/>
        <w:spacing w:line="240" w:lineRule="auto"/>
        <w:ind w:left="720"/>
      </w:pPr>
      <w:r/>
      <w:r>
        <w:t>condenação de Diótrefes (1.9–10)</w:t>
      </w:r>
    </w:p>
    <w:p>
      <w:pPr>
        <w:pStyle w:val="ListNumber"/>
        <w:spacing w:line="240" w:lineRule="auto"/>
        <w:ind w:left="720"/>
      </w:pPr>
      <w:r/>
      <w:r>
        <w:t>Instruções para imitar o que é bom (1.11)</w:t>
      </w:r>
    </w:p>
    <w:p>
      <w:pPr>
        <w:pStyle w:val="ListNumber"/>
        <w:spacing w:line="240" w:lineRule="auto"/>
        <w:ind w:left="720"/>
      </w:pPr>
      <w:r/>
      <w:r>
        <w:t>Elogios a Demétrio (1.12)</w:t>
      </w:r>
    </w:p>
    <w:p>
      <w:pPr>
        <w:pStyle w:val="ListNumber"/>
        <w:spacing w:line="240" w:lineRule="auto"/>
        <w:ind w:left="720"/>
      </w:pPr>
      <w:r/>
      <w:r>
        <w:t>Conclusão e saudações (1.13–15)</w:t>
      </w:r>
    </w:p>
    <w:p>
      <w:pPr>
        <w:pStyle w:val="Heading4"/>
      </w:pPr>
      <w:r>
        <w:t>Quem escreveu o livro de 3 João?</w:t>
      </w:r>
    </w:p>
    <w:p>
      <w:r/>
      <w:r>
        <w:t xml:space="preserve">A carta não menciona o nome do autor. O autor apenas se identificou como </w:t>
      </w:r>
      <w:r>
        <w:rPr>
          <w:b/>
        </w:rPr>
        <w:t>O ancião</w:t>
      </w:r>
      <w: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t>Qual é o tema do livro de 3 João?</w:t>
      </w:r>
    </w:p>
    <w:p>
      <w:r/>
      <w: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t>Como deve ser traduzido o título deste livro?</w:t>
      </w:r>
    </w:p>
    <w:p>
      <w:r/>
      <w:r>
        <w:t xml:space="preserve">Os tradutores podem optar por chamar este livro pelo seu título tradicional, “3 João” ou “Terceiro João”. Ou podem escolher um título diferente, como “A terceira carta de João” ou “A terceira carta que João escreveu”. (Veja: </w:t>
      </w:r>
      <w:r>
        <w:t>Como traduzir nomes</w:t>
      </w:r>
      <w:r>
        <w:t>)</w:t>
      </w:r>
    </w:p>
    <w:p>
      <w:pPr>
        <w:pStyle w:val="Heading3"/>
      </w:pPr>
      <w:r>
        <w:t>Parte 2: Conceitos religiosos e culturais relevantes</w:t>
      </w:r>
    </w:p>
    <w:p>
      <w:pPr>
        <w:pStyle w:val="Heading4"/>
      </w:pPr>
      <w:r>
        <w:t>O que é hospitalidade?</w:t>
      </w:r>
    </w:p>
    <w:p>
      <w:r/>
      <w: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t>Parte 3: Questões importantes de tradução</w:t>
      </w:r>
    </w:p>
    <w:p>
      <w:pPr>
        <w:pStyle w:val="Heading4"/>
      </w:pPr>
      <w:r>
        <w:t>De que maneira o autor utiliza os relacionamentos familiares em sua carta?</w:t>
      </w:r>
    </w:p>
    <w:p>
      <w:r/>
      <w:r>
        <w:t xml:space="preserve">O autor utilizou os termos </w:t>
      </w:r>
      <w:r>
        <w:rPr>
          <w:b/>
        </w:rPr>
        <w:t>irmão</w:t>
      </w:r>
      <w:r>
        <w:t xml:space="preserve"> e </w:t>
      </w:r>
      <w:r>
        <w:rPr>
          <w:b/>
        </w:rPr>
        <w:t>filhos</w:t>
      </w:r>
      <w:r>
        <w:t xml:space="preserve"> de uma maneira que pode causar confusão. As escrituras do Antigo Testamento frequentemente usavam o termo </w:t>
      </w:r>
      <w:r>
        <w:rPr>
          <w:b/>
        </w:rPr>
        <w:t>irmãos</w:t>
      </w:r>
      <w:r>
        <w:t xml:space="preserve"> para se referir aos judeus. No entanto, nesta carta, João usou a palavra para se referir aos cristãos. Além disso, João chamou alguns crentes de seus </w:t>
      </w:r>
      <w:r>
        <w:rPr>
          <w:b/>
        </w:rPr>
        <w:t>filhos</w:t>
      </w:r>
      <w:r>
        <w:t>. Ele quis dizer isso em um sentido espiritual; eram crentes que ele havia ensinado a obedecer a Cristo.</w:t>
      </w:r>
    </w:p>
    <w:p>
      <w:r/>
      <w:r>
        <w:t xml:space="preserve">João também usou o termo </w:t>
      </w:r>
      <w:r>
        <w:rPr>
          <w:b/>
        </w:rPr>
        <w:t>gentio</w:t>
      </w:r>
      <w:r>
        <w:t xml:space="preserve"> de uma maneira que pode ser confusa. As escrituras frequentemente usavam o termo </w:t>
      </w:r>
      <w:r>
        <w:rPr>
          <w:b/>
        </w:rPr>
        <w:t>gentio</w:t>
      </w:r>
      <w:r>
        <w:t xml:space="preserve"> para se referir a pessoas que não são judias. Mas nesta carta, João usou a palavra para se referir àqueles que não acreditavam em Jesus.</w:t>
      </w:r>
    </w:p>
    <w:p>
      <w:pPr>
        <w:pStyle w:val="Heading4"/>
      </w:pPr>
      <w:r>
        <w:t>Qual forma de “você” aparece nesta carta?</w:t>
      </w:r>
    </w:p>
    <w:p>
      <w:r/>
      <w:r>
        <w:t xml:space="preserve">Esta é uma carta pessoal de João para seu amigo Gaio. Todas as instâncias de </w:t>
      </w:r>
      <w:r>
        <w:rPr>
          <w:b/>
        </w:rPr>
        <w:t>você</w:t>
      </w:r>
      <w:r>
        <w:t xml:space="preserve"> e </w:t>
      </w:r>
      <w:r>
        <w:rPr>
          <w:b/>
        </w:rPr>
        <w:t>seu</w:t>
      </w:r>
      <w:r>
        <w:t xml:space="preserve"> nesta carta referem-se a Gaio e são no singular. Se seu idioma faz distinção de </w:t>
      </w:r>
      <w:r>
        <w:rPr>
          <w:b/>
        </w:rPr>
        <w:t xml:space="preserve">você </w:t>
      </w:r>
      <w:r>
        <w:t>no singular e no plural, certifique se de traduzir no singular nesta carta.</w:t>
      </w:r>
    </w:p>
    <w:p>
      <w:pPr>
        <w:pStyle w:val="Heading4"/>
      </w:pPr>
      <w:r>
        <w:t>Como posso traduzir os versículos 6–7 de forma lógica?</w:t>
      </w:r>
    </w:p>
    <w:p>
      <w:r/>
      <w: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t>Pontes de versículo</w:t>
      </w:r>
      <w:r>
        <w:t>)</w:t>
      </w:r>
    </w:p>
    <w:p>
      <w:r/>
      <w:r>
        <w:t>Em uma tradução literal, a inversão das frases ficaria assim:</w:t>
      </w:r>
    </w:p>
    <w:p>
      <w:r/>
      <w:r>
        <w:t>6–7 que testemunharam seu amor diante da igreja. Porque saíram por causa do nome, não aceitando nada dos gentios, você fará bem em enviá-los de maneira digna de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