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Kisah Para Rasul 1:1 (#5)</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Ini adalah generalisasi untuk penekanan. Terjemahan alternatif: "tentang beberapa hal paling penting yang Yesus lakukan dan ajarkan"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Kisah Para Rasul 1:2 (#1)</w:t>
      </w:r>
      <w:r>
        <w:rPr>
          <w:lang w:val="id_ID" w:bidi="id_ID"/>
        </w:rPr>
      </w:r>
    </w:p>
    <w:p>
      <w:pPr/>
      <w:r>
        <w:rPr>
          <w:lang w:val="id_ID" w:bidi="id_ID"/>
        </w:rPr>
      </w:r>
      <w:r>
        <w:rPr>
          <w:b/>
          <w:lang w:val="id_ID" w:bidi="id_ID"/>
        </w:rPr>
        <w:t>ἄχρι ἧς ἡμέρας</w:t>
      </w:r>
    </w:p>
    <w:p>
      <w:pPr/>
      <w:r>
        <w:rPr>
          <w:lang w:val="id_ID" w:bidi="id_ID"/>
        </w:rPr>
      </w:r>
      <w:r>
        <w:rPr>
          <w:b/>
          <w:lang w:val="id_ID" w:bidi="id_ID"/>
        </w:rPr>
        <w:t>"sampai pada hari"</w:t>
      </w:r>
    </w:p>
    <w:p>
      <w:pPr/>
      <w:r>
        <w:rPr>
          <w:lang w:val="id_ID" w:bidi="id_ID"/>
        </w:rPr>
      </w:r>
      <w:r>
        <w:rPr>
          <w:lang w:val="id_ID" w:bidi="id_ID"/>
        </w:rPr>
        <w:t xml:space="preserve">Walaupun ini terjadi pada hari tertentu, Lukas kemungkinan menggunakan kata </w:t>
      </w:r>
      <w:r>
        <w:rPr>
          <w:b/>
          <w:lang w:val="id_ID" w:bidi="id_ID"/>
        </w:rPr>
        <w:t>hari</w:t>
      </w:r>
      <w:r>
        <w:rPr>
          <w:lang w:val="id_ID" w:bidi="id_ID"/>
        </w:rPr>
        <w:t xml:space="preserve"> untuk merujuk pada waktu tertentu. Terjemahan alternatif: "hingga waktu ketika"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1:2 (#2)</w:t>
      </w:r>
      <w:r>
        <w:rPr>
          <w:lang w:val="id_ID" w:bidi="id_ID"/>
        </w:rPr>
      </w:r>
    </w:p>
    <w:p>
      <w:pPr/>
      <w:r>
        <w:rPr>
          <w:lang w:val="id_ID" w:bidi="id_ID"/>
        </w:rPr>
      </w:r>
      <w:r>
        <w:rPr>
          <w:b/>
          <w:lang w:val="id_ID" w:bidi="id_ID"/>
        </w:rPr>
        <w:t>ἀνελήμφθη</w:t>
      </w:r>
    </w:p>
    <w:p>
      <w:pPr/>
      <w:r>
        <w:rPr>
          <w:lang w:val="id_ID" w:bidi="id_ID"/>
        </w:rPr>
      </w:r>
      <w:r>
        <w:rPr>
          <w:b/>
          <w:lang w:val="id_ID" w:bidi="id_ID"/>
        </w:rPr>
        <w:t>"Ia terangkat"</w:t>
      </w:r>
    </w:p>
    <w:p>
      <w:pPr/>
      <w:r>
        <w:rPr>
          <w:lang w:val="id_ID" w:bidi="id_ID"/>
        </w:rPr>
      </w:r>
      <w:r>
        <w:rPr>
          <w:lang w:val="id_ID" w:bidi="id_ID"/>
        </w:rPr>
        <w:t>Jika lebih memudahkan dalam bahasa sasaran, Anda dapat menyatakannya dalam bentuk aktif. Terjemahan alternatif: "Allah mengangkat-Nya"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