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&amp;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ἐν τῷ φωτὶ εἶναι</w:t>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μὴ 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πᾶς 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أدوات 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&amp;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إلى أصحاح 5</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84">
        <w:r>
          <w:rPr>
            <w:lang w:val="ar_AE" w:bidi="ar_AE"/>
          </w:rPr>
          <w:rPr>
            <w:color w:val="0000EE"/>
            <w:u w:val="single"/>
          </w:rPr>
          <w:t>5: 16</w:t>
        </w:r>
      </w:hyperlink>
      <w:r>
        <w:rPr>
          <w:lang w:val="ar_AE" w:bidi="ar_AE"/>
        </w:rPr>
        <w:t xml:space="preserve">. </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تصويريّة تُصوِّر </w:t>
      </w:r>
      <w:r>
        <w:rPr>
          <w:b/>
          <w:lang w:val="ar_AE" w:bidi="ar_AE"/>
        </w:rPr>
        <w:t xml:space="preserve">الماء والدم </w:t>
      </w:r>
      <w:r>
        <w:rPr>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