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Τιμόθεος ὁ ἀδελφὸς</w:t>
      </w:r>
    </w:p>
    <w:p>
      <w:pPr/>
      <w:r>
        <w:rPr>
          <w:lang w:val="fr_FR" w:bidi="fr_FR"/>
        </w:rPr>
      </w:r>
      <w:r>
        <w:rPr>
          <w:b/>
          <w:lang w:val="fr_FR" w:bidi="fr_FR"/>
        </w:rPr>
        <w:t>« et le frère Timothée »</w:t>
      </w:r>
    </w:p>
    <w:p>
      <w:pPr/>
      <w:r>
        <w:rPr>
          <w:lang w:val="fr_FR" w:bidi="fr_FR"/>
        </w:rPr>
      </w:r>
      <w:r>
        <w:rPr>
          <w:lang w:val="fr_FR" w:bidi="fr_FR"/>
        </w:rPr>
        <w:t>Le texte grec original n'a que ces mots : « et le frère Timothée ». Dans certaines langues, il sera peut-être nécessaire d'ajouter un mot tel que « notre ». Un tel mot n'est pas nécessaire en français, et il est donc absent du texte de la LSG. Choisissez la formulation la plus la plus naturelle dans votre langue. Traduction alternative : « et Timothée notre frère » ou « et du frère Timothée » (Segond 21). Si vous devez inclure un tel mot et que votre langue distingue entre formes inclusives et exclusives, il serait préférable de choisir la forme inclusive ici.</w:t>
      </w:r>
    </w:p>
    <w:p>
      <w:pPr/>
      <w:r>
        <w:rPr>
          <w:lang w:val="fr_FR" w:bidi="fr_FR"/>
        </w:rPr>
      </w:r>
      <w:r>
        <w:rPr>
          <w:lang w:val="fr_FR" w:bidi="fr_FR"/>
        </w:rPr>
        <w:t xml:space="preserve">Voir : </w:t>
      </w:r>
      <w:r>
        <w:rPr>
          <w:lang w:val="fr_FR" w:bidi="fr_FR"/>
        </w:rPr>
        <w:t>Formes inclusives et exclusive de « nous »</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καθ’ 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&amp;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τῷ 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τῶν 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ὁ &amp; ἄνθρωπος &amp; ὁ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ὁ &amp; ἄνθρωπος διαφθείρεται &amp; ὁ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καθὼς εἶπεν ὁ Θεὸς</w:t>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