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hyperlink r:id="rId31">
        <w:r>
          <w:rPr>
            <w:lang w:val="fr_FR" w:bidi="fr_FR"/>
          </w:rPr>
          <w:rPr>
            <w:color w:val="0000EE"/>
            <w:u w:val="single"/>
          </w:rPr>
          <w:t>2.22</w:t>
        </w:r>
      </w:hyperlink>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hyperlink r:id="rId101">
        <w:r>
          <w:rPr>
            <w:lang w:val="fr_FR" w:bidi="fr_FR"/>
          </w:rPr>
          <w:rPr>
            <w:color w:val="0000EE"/>
            <w:u w:val="single"/>
          </w:rPr>
          <w:t>8.10</w:t>
        </w:r>
      </w:hyperlink>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hyperlink r:id="rId102">
        <w:r>
          <w:rPr>
            <w:lang w:val="fr_FR" w:bidi="fr_FR"/>
          </w:rPr>
          <w:rPr>
            <w:color w:val="0000EE"/>
            <w:u w:val="single"/>
          </w:rPr>
          <w:t>8.18</w:t>
        </w:r>
      </w:hyperlink>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hyperlink r:id="rId103">
        <w:r>
          <w:rPr>
            <w:lang w:val="fr_FR" w:bidi="fr_FR"/>
          </w:rPr>
          <w:rPr>
            <w:color w:val="0000EE"/>
            <w:u w:val="single"/>
          </w:rPr>
          <w:t>8.25</w:t>
        </w:r>
      </w:hyperlink>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hyperlink r:id="rId102">
        <w:r>
          <w:rPr>
            <w:lang w:val="fr_FR" w:bidi="fr_FR"/>
          </w:rPr>
          <w:rPr>
            <w:color w:val="0000EE"/>
            <w:u w:val="single"/>
          </w:rPr>
          <w:t>8.18</w:t>
        </w:r>
      </w:hyperlink>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hyperlink r:id="rId104">
        <w:r>
          <w:rPr>
            <w:lang w:val="fr_FR" w:bidi="fr_FR"/>
          </w:rPr>
          <w:rPr>
            <w:color w:val="0000EE"/>
            <w:u w:val="single"/>
          </w:rPr>
          <w:t>8.29</w:t>
        </w:r>
      </w:hyperlink>
      <w:r>
        <w:rPr>
          <w:lang w:val="fr_FR" w:bidi="fr_FR"/>
        </w:rPr>
        <w:t xml:space="preserve"> et </w:t>
      </w:r>
      <w:hyperlink r:id="rId105">
        <w:r>
          <w:rPr>
            <w:lang w:val="fr_FR" w:bidi="fr_FR"/>
          </w:rPr>
          <w:rPr>
            <w:color w:val="0000EE"/>
            <w:u w:val="single"/>
          </w:rPr>
          <w:t>8.38</w:t>
        </w:r>
      </w:hyperlink>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hyperlink r:id="rId106">
        <w:r>
          <w:rPr>
            <w:lang w:val="fr_FR" w:bidi="fr_FR"/>
          </w:rPr>
          <w:rPr>
            <w:color w:val="0000EE"/>
            <w:u w:val="single"/>
          </w:rPr>
          <w:t>8.30</w:t>
        </w:r>
      </w:hyperlink>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hyperlink r:id="rId107">
        <w:r>
          <w:rPr>
            <w:lang w:val="fr_FR" w:bidi="fr_FR"/>
          </w:rPr>
          <w:rPr>
            <w:color w:val="0000EE"/>
            <w:u w:val="single"/>
          </w:rPr>
          <w:t>53.7–8</w:t>
        </w:r>
      </w:hyperlink>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hyperlink r:id="rId108">
        <w:r>
          <w:rPr>
            <w:lang w:val="fr_FR" w:bidi="fr_FR"/>
          </w:rPr>
          <w:rPr>
            <w:color w:val="0000EE"/>
            <w:u w:val="single"/>
          </w:rPr>
          <w:t xml:space="preserve">8.37 </w:t>
        </w:r>
      </w:hyperlink>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hyperlink r:id="rId109">
        <w:r>
          <w:rPr>
            <w:lang w:val="fr_FR" w:bidi="fr_FR"/>
          </w:rPr>
          <w:rPr>
            <w:color w:val="0000EE"/>
            <w:u w:val="single"/>
          </w:rPr>
          <w:t>9.8</w:t>
        </w:r>
      </w:hyperlink>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hyperlink r:id="rId110">
        <w:r>
          <w:rPr>
            <w:lang w:val="fr_FR" w:bidi="fr_FR"/>
          </w:rPr>
          <w:rPr>
            <w:color w:val="0000EE"/>
            <w:u w:val="single"/>
          </w:rPr>
          <w:t>5.1</w:t>
        </w:r>
      </w:hyperlink>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hyperlink r:id="rId80">
        <w:r>
          <w:rPr>
            <w:lang w:val="fr_FR" w:bidi="fr_FR"/>
          </w:rPr>
          <w:rPr>
            <w:color w:val="0000EE"/>
            <w:u w:val="single"/>
          </w:rPr>
          <w:t>1.13</w:t>
        </w:r>
      </w:hyperlink>
      <w:r>
        <w:rPr>
          <w:lang w:val="fr_FR" w:bidi="fr_FR"/>
        </w:rPr>
        <w:t xml:space="preserve">, </w:t>
      </w:r>
      <w:hyperlink r:id="rId81">
        <w:r>
          <w:rPr>
            <w:lang w:val="fr_FR" w:bidi="fr_FR"/>
          </w:rPr>
          <w:rPr>
            <w:color w:val="0000EE"/>
            <w:u w:val="single"/>
          </w:rPr>
          <w:t>1.16</w:t>
        </w:r>
      </w:hyperlink>
      <w:r>
        <w:rPr>
          <w:lang w:val="fr_FR" w:bidi="fr_FR"/>
        </w:rPr>
        <w:t xml:space="preserve"> et </w:t>
      </w:r>
      <w:hyperlink r:id="rId111">
        <w:r>
          <w:rPr>
            <w:lang w:val="fr_FR" w:bidi="fr_FR"/>
          </w:rPr>
          <w:rPr>
            <w:color w:val="0000EE"/>
            <w:u w:val="single"/>
          </w:rPr>
          <w:t>5.37</w:t>
        </w:r>
      </w:hyperlink>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hyperlink r:id="rId112">
        <w:r>
          <w:rPr>
            <w:lang w:val="fr_FR" w:bidi="fr_FR"/>
          </w:rPr>
          <w:rPr>
            <w:color w:val="0000EE"/>
            <w:u w:val="single"/>
          </w:rPr>
          <w:t>6.6</w:t>
        </w:r>
      </w:hyperlink>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13.4 (#3)</w:t>
      </w:r>
      <w:r>
        <w:rPr>
          <w:lang w:val="fr_FR" w:bidi="fr_FR"/>
        </w:rPr>
      </w:r>
    </w:p>
    <w:p>
      <w:pPr/>
      <w:r>
        <w:rPr>
          <w:lang w:val="fr_FR" w:bidi="fr_FR"/>
        </w:rPr>
      </w:r>
      <w:r>
        <w:rPr>
          <w:b/>
          <w:lang w:val="fr_FR" w:bidi="fr_FR"/>
        </w:rPr>
        <w:t>« descendirent à Séleucie »</w:t>
      </w:r>
    </w:p>
    <w:p>
      <w:pPr/>
      <w:r>
        <w:rPr>
          <w:lang w:val="fr_FR" w:bidi="fr_FR"/>
        </w:rPr>
      </w:r>
      <w:r>
        <w:rPr>
          <w:lang w:val="fr_FR" w:bidi="fr_FR"/>
        </w:rPr>
        <w:t xml:space="preserve">Luc dit que Barnabas et Saul </w:t>
      </w:r>
      <w:r>
        <w:rPr>
          <w:b/>
          <w:lang w:val="fr_FR" w:bidi="fr_FR"/>
        </w:rPr>
        <w:t>descendirent</w:t>
      </w:r>
      <w:r>
        <w:rPr>
          <w:lang w:val="fr_FR" w:bidi="fr_FR"/>
        </w:rPr>
        <w:t xml:space="preserve"> à </w:t>
      </w:r>
      <w:r>
        <w:rPr>
          <w:b/>
          <w:lang w:val="fr_FR" w:bidi="fr_FR"/>
        </w:rPr>
        <w:t>Séleucie</w:t>
      </w:r>
      <w:r>
        <w:rPr>
          <w:lang w:val="fr_FR" w:bidi="fr_FR"/>
        </w:rPr>
        <w:t xml:space="preserve"> car cette ville est plus basse en altitude qu'Antioche. Vérifiez comment vous avez traduit cette façon idiomatique de décrire un trajet dans 12.19. Traduction alternative : « allèrent à Séleucie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13.4 (#4)</w:t>
      </w:r>
      <w:r>
        <w:rPr>
          <w:lang w:val="fr_FR" w:bidi="fr_FR"/>
        </w:rPr>
      </w:r>
    </w:p>
    <w:p>
      <w:pPr/>
      <w:r>
        <w:rPr>
          <w:lang w:val="fr_FR" w:bidi="fr_FR"/>
        </w:rPr>
      </w:r>
      <w:r>
        <w:rPr>
          <w:b/>
          <w:lang w:val="fr_FR" w:bidi="fr_FR"/>
        </w:rPr>
        <w:t>« Séleucie »</w:t>
      </w:r>
    </w:p>
    <w:p>
      <w:pPr/>
      <w:r>
        <w:rPr>
          <w:lang w:val="fr_FR" w:bidi="fr_FR"/>
        </w:rPr>
      </w:r>
      <w:r>
        <w:rPr>
          <w:b/>
          <w:lang w:val="fr_FR" w:bidi="fr_FR"/>
        </w:rPr>
        <w:t>Séleucie</w:t>
      </w:r>
      <w:r>
        <w:rPr>
          <w:lang w:val="fr_FR" w:bidi="fr_FR"/>
        </w:rPr>
        <w:t xml:space="preserve"> était le nom d'une ville située sur la côte.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(#1)</w:t>
      </w:r>
      <w:r>
        <w:rPr>
          <w:lang w:val="fr_FR" w:bidi="fr_FR"/>
        </w:rPr>
      </w:r>
    </w:p>
    <w:p>
      <w:pPr/>
      <w:r>
        <w:rPr>
          <w:lang w:val="fr_FR" w:bidi="fr_FR"/>
        </w:rPr>
      </w:r>
      <w:r>
        <w:rPr>
          <w:b/>
          <w:lang w:val="fr_FR" w:bidi="fr_FR"/>
        </w:rPr>
        <w:t>« Salamine »</w:t>
      </w:r>
    </w:p>
    <w:p>
      <w:pPr/>
      <w:r>
        <w:rPr>
          <w:lang w:val="fr_FR" w:bidi="fr_FR"/>
        </w:rPr>
      </w:r>
      <w:r>
        <w:rPr>
          <w:b/>
          <w:lang w:val="fr_FR" w:bidi="fr_FR"/>
        </w:rPr>
        <w:t>Salamine</w:t>
      </w:r>
      <w:r>
        <w:rPr>
          <w:lang w:val="fr_FR" w:bidi="fr_FR"/>
        </w:rPr>
        <w:t xml:space="preserve"> était le nom d'une ville située sur l'île de Chypre.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(#2)</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la parole de Dieu</w:t>
      </w:r>
      <w:r>
        <w:rPr>
          <w:lang w:val="fr_FR" w:bidi="fr_FR"/>
        </w:rPr>
        <w:t xml:space="preserve"> dans 11.1.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13.6 (#1)</w:t>
      </w:r>
      <w:r>
        <w:rPr>
          <w:lang w:val="fr_FR" w:bidi="fr_FR"/>
        </w:rPr>
      </w:r>
    </w:p>
    <w:p>
      <w:pPr/>
      <w:r>
        <w:rPr>
          <w:lang w:val="fr_FR" w:bidi="fr_FR"/>
        </w:rPr>
      </w:r>
      <w:r>
        <w:rPr>
          <w:b/>
          <w:lang w:val="fr_FR" w:bidi="fr_FR"/>
        </w:rPr>
        <w:t>« Paphos »</w:t>
      </w:r>
    </w:p>
    <w:p>
      <w:pPr/>
      <w:r>
        <w:rPr>
          <w:lang w:val="fr_FR" w:bidi="fr_FR"/>
        </w:rPr>
      </w:r>
      <w:r>
        <w:rPr>
          <w:b/>
          <w:lang w:val="fr_FR" w:bidi="fr_FR"/>
        </w:rPr>
        <w:t>Paphos</w:t>
      </w:r>
      <w:r>
        <w:rPr>
          <w:lang w:val="fr_FR" w:bidi="fr_FR"/>
        </w:rPr>
        <w:t xml:space="preserve"> était le nom d'une grande ville sur l'île de Chypre. C'est là que résidait le proconsul romain.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13.41 (#2)</w:t>
      </w:r>
      <w:r>
        <w:rPr>
          <w:lang w:val="fr_FR" w:bidi="fr_FR"/>
        </w:rPr>
      </w:r>
    </w:p>
    <w:p>
      <w:pPr/>
      <w:r>
        <w:rPr>
          <w:lang w:val="fr_FR" w:bidi="fr_FR"/>
        </w:rPr>
      </w:r>
      <w:r>
        <w:rPr>
          <w:b/>
          <w:lang w:val="fr_FR" w:bidi="fr_FR"/>
        </w:rPr>
        <w:t>« Voyez »</w:t>
      </w:r>
    </w:p>
    <w:p>
      <w:pPr/>
      <w:r>
        <w:rPr>
          <w:lang w:val="fr_FR" w:bidi="fr_FR"/>
        </w:rPr>
      </w:r>
      <w:r>
        <w:rPr>
          <w:lang w:val="fr_FR" w:bidi="fr_FR"/>
        </w:rPr>
        <w:t xml:space="preserve">Dans le passage d'Habacuc que Paul cite, le prophète utilise cette expression idiomatique hébraïque avec le verbe </w:t>
      </w:r>
      <w:r>
        <w:rPr>
          <w:i/>
          <w:lang w:val="fr_FR" w:bidi="fr_FR"/>
        </w:rPr>
        <w:t>voir</w:t>
      </w:r>
      <w:r>
        <w:rPr>
          <w:lang w:val="fr_FR" w:bidi="fr_FR"/>
        </w:rPr>
        <w:t xml:space="preserve"> pour signifier faire attention à quelque chose afin d'y réfléchir ou de réaliser quelque chose. Si votre langue n'utilise pas le verbe </w:t>
      </w:r>
      <w:r>
        <w:rPr>
          <w:i/>
          <w:lang w:val="fr_FR" w:bidi="fr_FR"/>
        </w:rPr>
        <w:t>voir</w:t>
      </w:r>
      <w:r>
        <w:rPr>
          <w:lang w:val="fr_FR" w:bidi="fr_FR"/>
        </w:rPr>
        <w:t xml:space="preserve"> (ou </w:t>
      </w:r>
      <w:r>
        <w:rPr>
          <w:i/>
          <w:lang w:val="fr_FR" w:bidi="fr_FR"/>
        </w:rPr>
        <w:t>regarder</w:t>
      </w:r>
      <w:r>
        <w:rPr>
          <w:lang w:val="fr_FR" w:bidi="fr_FR"/>
        </w:rPr>
        <w:t>) de cette façon, vous pouvez traduire autrement. Traduction alternative : « Comprenez ceci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15:20 (#5)</w:t>
      </w:r>
      <w:r>
        <w:rPr>
          <w:lang w:val="fr_FR" w:bidi="fr_FR"/>
        </w:rPr>
      </w:r>
    </w:p>
    <w:p>
      <w:pPr/>
      <w:r>
        <w:rPr>
          <w:lang w:val="fr_FR" w:bidi="fr_FR"/>
        </w:rPr>
      </w:r>
      <w:r>
        <w:rPr>
          <w:b/>
          <w:lang w:val="fr_FR" w:bidi="fr_FR"/>
        </w:rPr>
        <w:t>« des animaux étouffés et du sang »</w:t>
      </w:r>
    </w:p>
    <w:p>
      <w:pPr/>
      <w:r>
        <w:rPr>
          <w:lang w:val="fr_FR" w:bidi="fr_FR"/>
        </w:rPr>
      </w:r>
      <w:r>
        <w:rPr>
          <w:lang w:val="fr_FR" w:bidi="fr_FR"/>
        </w:rPr>
        <w:t>Dans l'AT, Dieu avait interdit à Noé et ses descendants, c'est à dire toute l'humanité, de manger du sang. Quand un animal était tué pour le manger, les Juifs s'assuraient de laisser couler son sang avant de le cuire. C'est pour cela que les animaux étouffés sont mentionnés ici. Cette façon de tuer l'animal ne le vide pas de son sang. Jacques dit donc que les non-Juifs chrétiens ne doivent pas manger de sang ou de la viande qui est encore pleine de sang.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 Id="rId101" Type="http://schemas.openxmlformats.org/officeDocument/2006/relationships/hyperlink" Target="https://ref.ly/Acts8:10" TargetMode="External"/><Relationship Id="rId102" Type="http://schemas.openxmlformats.org/officeDocument/2006/relationships/hyperlink" Target="https://ref.ly/Acts8:18" TargetMode="External"/><Relationship Id="rId103" Type="http://schemas.openxmlformats.org/officeDocument/2006/relationships/hyperlink" Target="https://ref.ly/Acts8:25" TargetMode="External"/><Relationship Id="rId104" Type="http://schemas.openxmlformats.org/officeDocument/2006/relationships/hyperlink" Target="https://ref.ly/Acts8:29" TargetMode="External"/><Relationship Id="rId105" Type="http://schemas.openxmlformats.org/officeDocument/2006/relationships/hyperlink" Target="https://ref.ly/Acts8:38" TargetMode="External"/><Relationship Id="rId106" Type="http://schemas.openxmlformats.org/officeDocument/2006/relationships/hyperlink" Target="https://ref.ly/Acts8:30" TargetMode="External"/><Relationship Id="rId107" Type="http://schemas.openxmlformats.org/officeDocument/2006/relationships/hyperlink" Target="https://ref.ly/Acts53:7-Acts53:8" TargetMode="External"/><Relationship Id="rId108" Type="http://schemas.openxmlformats.org/officeDocument/2006/relationships/hyperlink" Target="https://ref.ly/Acts8:37" TargetMode="External"/><Relationship Id="rId109" Type="http://schemas.openxmlformats.org/officeDocument/2006/relationships/hyperlink" Target="https://ref.ly/Acts9:8" TargetMode="External"/><Relationship Id="rId110" Type="http://schemas.openxmlformats.org/officeDocument/2006/relationships/hyperlink" Target="https://ref.ly/Acts5:1" TargetMode="External"/><Relationship Id="rId111" Type="http://schemas.openxmlformats.org/officeDocument/2006/relationships/hyperlink" Target="https://ref.ly/Acts5:37" TargetMode="External"/><Relationship Id="rId112" Type="http://schemas.openxmlformats.org/officeDocument/2006/relationships/hyperlink" Target="https://ref.ly/Acts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