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un homme avec »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mot </w:t>
      </w:r>
      <w:r>
        <w:rPr>
          <w:b/>
          <w:lang w:val="fr_FR" w:bidi="fr_FR"/>
        </w:rPr>
        <w:t>homme</w:t>
      </w:r>
      <w:r>
        <w:rPr>
          <w:lang w:val="fr_FR" w:bidi="fr_FR"/>
        </w:rPr>
        <w:t xml:space="preserve"> est utilisé ici dans un sens générique qui pourrait désigner un homme ou une femme. Choisissez la formulation la plus naturelle pour traduire ce sens dans votre langue. Traduction alternative : « une personne avec ».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Voir : </w:t>
      </w:r>
      <w:r>
        <w:rPr>
          <w:lang w:val="fr_FR" w:bidi="fr_FR"/>
        </w:rPr>
        <w:t>Mots masculins qui incluent les femmes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