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lang w:val="pt_PT" w:bidi="pt_PT"/>
        </w:rPr>
        <w:t>תָּ֧ם וְ⁠יָשָׁ֛ר</w:t>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lang w:val="pt_PT" w:bidi="pt_PT"/>
        </w:rPr>
        <w:t>וָֽ⁠אִמָּ֨לְטָ֧⁠ה רַק־אֲנִ֛י לְ⁠בַדִּ֖⁠י לְ⁠הַגִּ֥יד לָֽ⁠ךְ</w:t>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lang w:val="pt_PT" w:bidi="pt_PT"/>
        </w:rPr>
        <w:t>תָּ֧ם וְ⁠יָשָׁ֛ר</w:t>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lang w:val="pt_PT" w:bidi="pt_PT"/>
        </w:rPr>
        <w:t>יְל֣וּד אִשָּֽׁה</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lang w:val="pt_PT" w:bidi="pt_PT"/>
        </w:rPr>
        <w:t>עֲנִיִּ֣ים</w:t>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lang w:val="pt_PT" w:bidi="pt_PT"/>
        </w:rPr>
        <w:t>עֲנִיִּ֣ים</w:t>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