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Ἰησοῦ Χριστοῦ τοῦ Ναζωραίου</w:t>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9.7</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εὐχὴν ἔχοντες</w:t>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1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0">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1">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2">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3">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4">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3">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5">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6">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7">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7"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21:34" TargetMode="External"/><Relationship Id="rId191" Type="http://schemas.openxmlformats.org/officeDocument/2006/relationships/hyperlink" Target="https://ref.ly/Acts9:10" TargetMode="External"/><Relationship Id="rId192" Type="http://schemas.openxmlformats.org/officeDocument/2006/relationships/hyperlink" Target="https://ref.ly/Acts22:17-Acts22:21" TargetMode="External"/><Relationship Id="rId193" Type="http://schemas.openxmlformats.org/officeDocument/2006/relationships/hyperlink" Target="https://ref.ly/Acts23:26" TargetMode="External"/><Relationship Id="rId194" Type="http://schemas.openxmlformats.org/officeDocument/2006/relationships/hyperlink" Target="https://ref.ly/Acts9:32" TargetMode="External"/><Relationship Id="rId195" Type="http://schemas.openxmlformats.org/officeDocument/2006/relationships/hyperlink" Target="https://ref.ly/Acts21:3" TargetMode="External"/><Relationship Id="rId196" Type="http://schemas.openxmlformats.org/officeDocument/2006/relationships/hyperlink" Target="https://ref.ly/Acts18:24" TargetMode="External"/><Relationship Id="rId197"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