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 (#1)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 (#1)</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 (#1)</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 (#1)</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 (#1)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 (#1)</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 (#1)</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 (#1)</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 (#1)</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dealt treacherously with the wife of his youth.</w:t>
      </w:r>
      <w:r>
        <w:rPr>
          <w:lang w:val="en_US" w:bidi="en_US"/>
        </w:rPr>
      </w:r>
      <w:r>
        <w:rPr>
          <w:lang w:val="en_US" w:bidi="en_US"/>
        </w:rPr>
      </w:r>
    </w:p>
    <w:p>
      <w:pPr/>
      <w:r>
        <w:rPr>
          <w:lang w:val="en_US" w:bidi="en_US"/>
        </w:rPr>
      </w:r>
    </w:p>
    <w:p>
      <w:pPr>
        <w:pStyle w:val="Heading2"/>
      </w:pPr>
      <w:r>
        <w:rPr>
          <w:lang w:val="en_US" w:bidi="en_US"/>
        </w:rPr>
        <w:t>Malachi 2:15–16 (#1)</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 (#1)</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 (#1)</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 (#1)</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 (#1)</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 (#1)</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 (#1)</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 (#1)</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remember and obey the law of his servant Moses.</w:t>
      </w:r>
      <w:r>
        <w:rPr>
          <w:lang w:val="en_US" w:bidi="en_US"/>
        </w:rPr>
      </w:r>
      <w:r>
        <w:rPr>
          <w:lang w:val="en_US" w:bidi="en_US"/>
        </w:rPr>
      </w:r>
    </w:p>
    <w:p>
      <w:pPr/>
      <w:r>
        <w:rPr>
          <w:lang w:val="en_US" w:bidi="en_US"/>
        </w:rPr>
      </w:r>
    </w:p>
    <w:p>
      <w:pPr>
        <w:pStyle w:val="Heading2"/>
      </w:pPr>
      <w:r>
        <w:rPr>
          <w:lang w:val="en_US" w:bidi="en_US"/>
        </w:rPr>
        <w:t>Malachi 4:5–6 (#1)</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