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</w:t>
      </w:r>
      <w:r/>
    </w:p>
    <w:p>
      <w:r/>
      <w:r>
        <w:rPr>
          <w:i/>
        </w:rPr>
        <w:t>Qualifier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Qualifier</w:t>
      </w:r>
      <w:r/>
    </w:p>
    <w:p>
      <w:pPr>
        <w:pStyle w:val="Heading3"/>
      </w:pPr>
      <w:r>
        <w:t>Définition :</w:t>
      </w:r>
    </w:p>
    <w:p>
      <w:r/>
      <w: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/>
      <w: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/>
      <w: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/>
      <w: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t>traduction Suggestions</w:t>
      </w:r>
    </w:p>
    <w:p>
      <w:pPr>
        <w:pStyle w:val="ListBullet"/>
        <w:spacing w:line="240" w:lineRule="auto"/>
        <w:ind w:left="720"/>
      </w:pPr>
      <w:r/>
      <w: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/>
      <w:r>
        <w:t>qualifier quelqu'un pourrait être traduit par «équiper» ou «autoriser» ou «responsabiliser».</w:t>
      </w:r>
    </w:p>
    <w:p>
      <w:r/>
      <w:r>
        <w:t>(Voir aussi : (../names/colossae.md), (../kt/godly.md), (../other/kingdom.md), (../other/light.md), (../names/paul.md), (../kt/redeem.md))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