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થ</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થાંભલો, થાંભલા, સ્તંભ, સ્તંભો</w:t>
      </w:r>
      <w:r>
        <w:rPr>
          <w:lang w:val="gu_IN" w:bidi="gu_IN"/>
        </w:rPr>
      </w:r>
    </w:p>
    <w:p>
      <w:pPr>
        <w:pStyle w:val="Heading3"/>
      </w:pPr>
      <w:r>
        <w:rPr>
          <w:lang w:val="gu_IN" w:bidi="gu_IN"/>
        </w:rPr>
        <w:t>વ્યાખ્યા:</w:t>
      </w:r>
    </w:p>
    <w:p>
      <w:pPr/>
      <w:r>
        <w:rPr>
          <w:lang w:val="gu_IN" w:bidi="gu_IN"/>
        </w:rPr>
      </w:r>
      <w:r>
        <w:rPr>
          <w:lang w:val="gu_IN" w:bidi="gu_IN"/>
        </w:rPr>
        <w:t>“સ્તંભ” શબ્દ સામાન્ય રીતે એક મોટા ઊભા માળખાનો ઉલ્લેખ કરે છે કે જેનો ઉપયોગ છત કે મકાનના બીજા કોઈ ભાગને ટેકો આપવા કરવામાં આવે છે.</w:t>
        <w:br/>
      </w:r>
      <w:r>
        <w:rPr>
          <w:lang w:val="gu_IN" w:bidi="gu_IN"/>
        </w:rPr>
        <w:t>“સ્તંભ” માટેનો બીજો શબ્દ “થાંભલો” છે.</w:t>
      </w:r>
    </w:p>
    <w:p>
      <w:pPr>
        <w:pStyle w:val="ListBullet"/>
        <w:spacing w:line="240" w:lineRule="auto"/>
        <w:ind w:left="720"/>
      </w:pPr>
      <w:r>
        <w:rPr>
          <w:lang w:val="gu_IN" w:bidi="gu_IN"/>
        </w:rPr>
      </w:r>
      <w:r>
        <w:rPr>
          <w:lang w:val="gu_IN" w:bidi="gu_IN"/>
        </w:rPr>
        <w:t>બાઇબલના સમયોમાં, મકાનોને ટેકો આપવા વપરાતા સ્તંભો સામાન્ય રીતે ખડકના એક જ ટુકડામાંથી કોરી કાઢવામાં આવતા હતા.</w:t>
      </w:r>
    </w:p>
    <w:p>
      <w:pPr>
        <w:pStyle w:val="ListBullet"/>
        <w:spacing w:line="240" w:lineRule="auto"/>
        <w:ind w:left="720"/>
      </w:pPr>
      <w:r>
        <w:rPr>
          <w:lang w:val="gu_IN" w:bidi="gu_IN"/>
        </w:rPr>
      </w:r>
      <w:r>
        <w:rPr>
          <w:lang w:val="gu_IN" w:bidi="gu_IN"/>
        </w:rPr>
        <w:t>જૂના કરારમાં જ્યારે સામસૂનને પલિસ્તિઓ દ્વારા પકડવામાં આવ્યો ત્યારે, તેણે અધર્મી મંદિરને ટેકો આપતા સ્તંભોને ધકેલ્યા કે જેથી તે તૂટી પડ્યું અને તે રીતે તેનો નાશ કર્યો.</w:t>
      </w:r>
    </w:p>
    <w:p>
      <w:pPr>
        <w:pStyle w:val="ListBullet"/>
        <w:spacing w:line="240" w:lineRule="auto"/>
        <w:ind w:left="720"/>
      </w:pPr>
      <w:r>
        <w:rPr>
          <w:lang w:val="gu_IN" w:bidi="gu_IN"/>
        </w:rPr>
      </w:r>
      <w:r>
        <w:rPr>
          <w:lang w:val="gu_IN" w:bidi="gu_IN"/>
        </w:rPr>
        <w:t>“સ્તંભ” શબ્દ કેટલીક વાર એક મોટા પથ્થર કે શિલાખંડનો ઉલ્લેખ કરે છે કે જેને કોઈ કબર અથવા તો જ્યાં કઇંક મહત્ત્વની ઘટના ઘટી હોય તે સ્થળ દર્શાવવા એક યાદગીરી તરીકે ઊભો કરવામાં આવે છે.</w:t>
      </w:r>
    </w:p>
    <w:p>
      <w:pPr>
        <w:pStyle w:val="ListBullet"/>
        <w:spacing w:line="240" w:lineRule="auto"/>
        <w:ind w:left="720"/>
      </w:pPr>
      <w:r>
        <w:rPr>
          <w:lang w:val="gu_IN" w:bidi="gu_IN"/>
        </w:rPr>
      </w:r>
      <w:r>
        <w:rPr>
          <w:lang w:val="gu_IN" w:bidi="gu_IN"/>
        </w:rPr>
        <w:t>તે એક મૂર્તિ કે જેને જૂઠા દેવની પૂજા કરવા બનાવવામાં આવી હતી તેનો ઉલ્લેખ પણ કરી શકે છે.</w:t>
        <w:br/>
      </w:r>
      <w:r>
        <w:rPr>
          <w:lang w:val="gu_IN" w:bidi="gu_IN"/>
        </w:rPr>
        <w:t>“કોરેલી મૂર્તિ” માટેનું તે બીજું નામ છે અને તેનો અનુવાદ “પૂતળું” તરીકે કરી શકાય.</w:t>
      </w:r>
    </w:p>
    <w:p>
      <w:pPr>
        <w:pStyle w:val="ListBullet"/>
        <w:spacing w:line="240" w:lineRule="auto"/>
        <w:ind w:left="720"/>
      </w:pPr>
      <w:r>
        <w:rPr>
          <w:lang w:val="gu_IN" w:bidi="gu_IN"/>
        </w:rPr>
      </w:r>
      <w:r>
        <w:rPr>
          <w:lang w:val="gu_IN" w:bidi="gu_IN"/>
        </w:rPr>
        <w:t>“સ્તંભ” શબ્દનો ઉપયોગ સ્તંભના આકારની બાબતોનો ઉલ્લેખ કરવા કરવામાં આવ્યો છે, જેમ કે ઇઝરાયલીઓને અરણ્યમાં રાત્રિ દરમ્યાન દોરનાર “અગ્નિસ્તંભ” કે પછી લોતની પત્ની શહેર તરફ પાછું જોવાથી “ખારનો થાંભલો” થઈ ગઈ તે સ્તંભ.</w:t>
      </w:r>
    </w:p>
    <w:p>
      <w:pPr>
        <w:pStyle w:val="ListBullet"/>
        <w:spacing w:line="240" w:lineRule="auto"/>
        <w:ind w:left="720"/>
      </w:pPr>
      <w:r>
        <w:rPr>
          <w:lang w:val="gu_IN" w:bidi="gu_IN"/>
        </w:rPr>
      </w:r>
      <w:r>
        <w:rPr>
          <w:lang w:val="gu_IN" w:bidi="gu_IN"/>
        </w:rPr>
        <w:t>મકાનને આધાર આપતા માળખા તરીકે, “સ્તંભ” અથવા તો “થાંભલો” શબ્દનો અનુવાદ “ઊભો પથ્થરનો આધારસ્તંભ” અથવા તો “પથ્થરનું આધાર આપતું માળખું” તરીકે કરી શકાય.</w:t>
      </w:r>
    </w:p>
    <w:p>
      <w:pPr>
        <w:pStyle w:val="ListBullet"/>
        <w:spacing w:line="240" w:lineRule="auto"/>
        <w:ind w:left="720"/>
      </w:pPr>
      <w:r>
        <w:rPr>
          <w:lang w:val="gu_IN" w:bidi="gu_IN"/>
        </w:rPr>
      </w:r>
      <w:r>
        <w:rPr>
          <w:lang w:val="gu_IN" w:bidi="gu_IN"/>
        </w:rPr>
        <w:t>“સ્તંભના” બીજા ઉપયોગોનો અનુવાદ સંદર્ભ અનુસાર “પૂતળું” અથવા તો “ઢગલો” અથવા તો “ટેકરો” અથવા તો “સ્મારક” અથવા તો “ઊંચો ઢગલો” તરીકે કરી શકાય.</w:t>
      </w:r>
    </w:p>
    <w:p>
      <w:pPr/>
      <w:r>
        <w:rPr>
          <w:lang w:val="gu_IN" w:bidi="gu_IN"/>
        </w:rPr>
      </w:r>
      <w:r>
        <w:rPr>
          <w:lang w:val="gu_IN" w:bidi="gu_IN"/>
        </w:rPr>
        <w:t xml:space="preserve">(આ પણ જૂઓ: </w:t>
      </w:r>
      <w:r>
        <w:rPr>
          <w:lang w:val="gu_IN" w:bidi="gu_IN"/>
        </w:rPr>
        <w:t>પાયો</w:t>
      </w:r>
      <w:r>
        <w:rPr>
          <w:lang w:val="gu_IN" w:bidi="gu_IN"/>
        </w:rPr>
        <w:t xml:space="preserve">, </w:t>
      </w:r>
      <w:r>
        <w:rPr>
          <w:lang w:val="gu_IN" w:bidi="gu_IN"/>
        </w:rPr>
        <w:t>જૂઠો દેવ</w:t>
      </w:r>
      <w:r>
        <w:rPr>
          <w:lang w:val="gu_IN" w:bidi="gu_IN"/>
        </w:rPr>
        <w:t xml:space="preserve">, </w:t>
      </w:r>
      <w:r>
        <w:rPr>
          <w:lang w:val="gu_IN" w:bidi="gu_IN"/>
        </w:rPr>
        <w:t>પ્રતિમા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રાજા 18:4–5</w:t>
      </w:r>
    </w:p>
    <w:p>
      <w:pPr>
        <w:pStyle w:val="ListBullet"/>
        <w:spacing w:line="240" w:lineRule="auto"/>
        <w:ind w:left="720"/>
      </w:pPr>
      <w:r>
        <w:rPr>
          <w:lang w:val="gu_IN" w:bidi="gu_IN"/>
        </w:rPr>
      </w:r>
      <w:r>
        <w:rPr>
          <w:lang w:val="gu_IN" w:bidi="gu_IN"/>
        </w:rPr>
        <w:t>નિર્ગમન 13:19–22</w:t>
      </w:r>
    </w:p>
    <w:p>
      <w:pPr>
        <w:pStyle w:val="ListBullet"/>
        <w:spacing w:line="240" w:lineRule="auto"/>
        <w:ind w:left="720"/>
      </w:pPr>
      <w:r>
        <w:rPr>
          <w:lang w:val="gu_IN" w:bidi="gu_IN"/>
        </w:rPr>
      </w:r>
      <w:r>
        <w:rPr>
          <w:lang w:val="gu_IN" w:bidi="gu_IN"/>
        </w:rPr>
        <w:t>નિર્ગમન 33:7–9</w:t>
      </w:r>
    </w:p>
    <w:p>
      <w:pPr>
        <w:pStyle w:val="ListBullet"/>
        <w:spacing w:line="240" w:lineRule="auto"/>
        <w:ind w:left="720"/>
      </w:pPr>
      <w:r>
        <w:rPr>
          <w:lang w:val="gu_IN" w:bidi="gu_IN"/>
        </w:rPr>
      </w:r>
      <w:r>
        <w:rPr>
          <w:lang w:val="gu_IN" w:bidi="gu_IN"/>
        </w:rPr>
        <w:t>ઉત્પત્તિ 31:4–47</w:t>
      </w:r>
    </w:p>
    <w:p>
      <w:pPr>
        <w:pStyle w:val="ListBullet"/>
        <w:spacing w:line="240" w:lineRule="auto"/>
        <w:ind w:left="720"/>
      </w:pPr>
      <w:r>
        <w:rPr>
          <w:lang w:val="gu_IN" w:bidi="gu_IN"/>
        </w:rPr>
      </w:r>
      <w:r>
        <w:rPr>
          <w:lang w:val="gu_IN" w:bidi="gu_IN"/>
        </w:rPr>
        <w:t>નીતિવચનો 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H352, H547, H2106, H2553, H3730, H4552, H4676, H4678, H4690, H5324, H5333, H5982, H8490, G4769</w:t>
      </w:r>
      <w:r>
        <w:rPr>
          <w:lang w:val="gu_IN" w:bidi="gu_IN"/>
        </w:rPr>
      </w:r>
      <w:r>
        <w:rPr>
          <w:lang w:val="gu_IN" w:bidi="gu_IN"/>
        </w:rPr>
      </w:r>
    </w:p>
    <w:p>
      <w:pPr/>
      <w:r>
        <w:rPr>
          <w:lang w:val="gu_IN" w:bidi="gu_IN"/>
        </w:rPr>
      </w:r>
    </w:p>
    <w:p>
      <w:pPr>
        <w:pStyle w:val="Heading2"/>
      </w:pPr>
      <w:r>
        <w:rPr>
          <w:lang w:val="gu_IN" w:bidi="gu_IN"/>
        </w:rPr>
        <w:t>થેસ્સલોનિકા, થેસ્સલોનીકાના, થેસ્સલોનીકીઓ</w:t>
      </w:r>
      <w:r>
        <w:rPr>
          <w:lang w:val="gu_IN" w:bidi="gu_IN"/>
        </w:rPr>
      </w:r>
    </w:p>
    <w:p>
      <w:pPr>
        <w:pStyle w:val="Heading3"/>
      </w:pPr>
      <w:r>
        <w:rPr>
          <w:lang w:val="gu_IN" w:bidi="gu_IN"/>
        </w:rPr>
        <w:t>તથ્યો:</w:t>
      </w:r>
    </w:p>
    <w:p>
      <w:pPr/>
      <w:r>
        <w:rPr>
          <w:lang w:val="gu_IN" w:bidi="gu_IN"/>
        </w:rPr>
      </w:r>
      <w:r>
        <w:rPr>
          <w:lang w:val="gu_IN" w:bidi="gu_IN"/>
        </w:rPr>
        <w:t>નવા કરારના સમયમાં, પ્રાચીન રોમન સામ્રાજ્યમાં થેસ્સલોનીકા મકદોનિયાની રાજધાની હતી.</w:t>
        <w:br/>
      </w:r>
      <w:r>
        <w:rPr>
          <w:lang w:val="gu_IN" w:bidi="gu_IN"/>
        </w:rPr>
        <w:t>તે શહેરમાં રહેતા લોકો "થેસ્સલોનીકી" કહેવાતા.</w:t>
      </w:r>
    </w:p>
    <w:p>
      <w:pPr>
        <w:pStyle w:val="ListBullet"/>
        <w:spacing w:line="240" w:lineRule="auto"/>
        <w:ind w:left="720"/>
      </w:pPr>
      <w:r>
        <w:rPr>
          <w:lang w:val="gu_IN" w:bidi="gu_IN"/>
        </w:rPr>
      </w:r>
      <w:r>
        <w:rPr>
          <w:lang w:val="gu_IN" w:bidi="gu_IN"/>
        </w:rPr>
        <w:t>થેસ્સલોનીકા શહેર મહત્વનું દરિયાઇ બંદર હતું અને રોમન સામ્રાજ્યના પૂર્વ ભાગમાં રોમના મુખ્ય માર્ગ સાથે સંકળાયેલું હતું.</w:t>
      </w:r>
    </w:p>
    <w:p>
      <w:pPr>
        <w:pStyle w:val="ListBullet"/>
        <w:spacing w:line="240" w:lineRule="auto"/>
        <w:ind w:left="720"/>
      </w:pPr>
      <w:r>
        <w:rPr>
          <w:lang w:val="gu_IN" w:bidi="gu_IN"/>
        </w:rPr>
      </w:r>
      <w:r>
        <w:rPr>
          <w:lang w:val="gu_IN" w:bidi="gu_IN"/>
        </w:rPr>
        <w:t>પાઉલે, સિલાસ અને તીમોથી સાથે, બીજી મિશનરી મુસાફરીમાં થેસ્સલોનીકીની મુલાકાત લીધી હતી અને પરિણામે ત્યાં મંડળી સ્થાપિત થઈ હતી.</w:t>
        <w:br/>
      </w:r>
      <w:r>
        <w:rPr>
          <w:lang w:val="gu_IN" w:bidi="gu_IN"/>
        </w:rPr>
        <w:t>બાદમાં, પાઉલે આ ત્રીજી મિશનરી મુસાફરીમાં પણ આ શહેરની મુલાકાત લીધી હતી.</w:t>
      </w:r>
    </w:p>
    <w:p>
      <w:pPr>
        <w:pStyle w:val="ListBullet"/>
        <w:spacing w:line="240" w:lineRule="auto"/>
        <w:ind w:left="720"/>
      </w:pPr>
      <w:r>
        <w:rPr>
          <w:lang w:val="gu_IN" w:bidi="gu_IN"/>
        </w:rPr>
      </w:r>
      <w:r>
        <w:rPr>
          <w:lang w:val="gu_IN" w:bidi="gu_IN"/>
        </w:rPr>
        <w:t>પાઉલે થેસ્સલોનીકાના ખ્રિસ્તીઓને બે પત્રો લખ્યા હતા</w:t>
      </w:r>
    </w:p>
    <w:p>
      <w:pPr/>
      <w:r>
        <w:rPr>
          <w:lang w:val="gu_IN" w:bidi="gu_IN"/>
        </w:rPr>
      </w:r>
      <w:r>
        <w:rPr>
          <w:lang w:val="gu_IN" w:bidi="gu_IN"/>
        </w:rPr>
        <w:t>આ પત્રો (1 થેસ્સલોનીકી અને 2થેસ્સલોનીકી) નવા કરારમાં સમાવેશ થાય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મકદોનિયા</w:t>
      </w:r>
      <w:r>
        <w:rPr>
          <w:lang w:val="gu_IN" w:bidi="gu_IN"/>
        </w:rPr>
        <w:t xml:space="preserve">, [પાઉલ[, </w:t>
      </w:r>
      <w:r>
        <w:rPr>
          <w:lang w:val="gu_IN" w:bidi="gu_IN"/>
        </w:rPr>
        <w:t>રોમ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1:1</w:t>
      </w:r>
    </w:p>
    <w:p>
      <w:pPr>
        <w:pStyle w:val="ListBullet"/>
        <w:spacing w:line="240" w:lineRule="auto"/>
        <w:ind w:left="720"/>
      </w:pPr>
      <w:r>
        <w:rPr>
          <w:lang w:val="gu_IN" w:bidi="gu_IN"/>
        </w:rPr>
      </w:r>
      <w:r>
        <w:rPr>
          <w:lang w:val="gu_IN" w:bidi="gu_IN"/>
        </w:rPr>
        <w:t>2થેસ્સલોનીકી 1:1–2</w:t>
      </w:r>
    </w:p>
    <w:p>
      <w:pPr>
        <w:pStyle w:val="ListBullet"/>
        <w:spacing w:line="240" w:lineRule="auto"/>
        <w:ind w:left="720"/>
      </w:pPr>
      <w:r>
        <w:rPr>
          <w:lang w:val="gu_IN" w:bidi="gu_IN"/>
        </w:rPr>
      </w:r>
      <w:r>
        <w:rPr>
          <w:lang w:val="gu_IN" w:bidi="gu_IN"/>
        </w:rPr>
        <w:t>2 તિમોથી 4:9–10</w:t>
      </w:r>
    </w:p>
    <w:p>
      <w:pPr>
        <w:pStyle w:val="ListBullet"/>
        <w:spacing w:line="240" w:lineRule="auto"/>
        <w:ind w:left="720"/>
      </w:pPr>
      <w:r>
        <w:rPr>
          <w:lang w:val="gu_IN" w:bidi="gu_IN"/>
        </w:rPr>
      </w:r>
      <w:r>
        <w:rPr>
          <w:lang w:val="gu_IN" w:bidi="gu_IN"/>
        </w:rPr>
        <w:t>પ્રેરિતોનાં કૃત્યો 17:1–2</w:t>
      </w:r>
    </w:p>
    <w:p>
      <w:pPr>
        <w:pStyle w:val="ListBullet"/>
        <w:spacing w:line="240" w:lineRule="auto"/>
        <w:ind w:left="720"/>
      </w:pPr>
      <w:r>
        <w:rPr>
          <w:lang w:val="gu_IN" w:bidi="gu_IN"/>
        </w:rPr>
      </w:r>
      <w:r>
        <w:rPr>
          <w:lang w:val="gu_IN" w:bidi="gu_IN"/>
        </w:rPr>
        <w:t>ફિલિપી 4:14–17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G2331, G2332</w:t>
      </w:r>
      <w:r>
        <w:rPr>
          <w:lang w:val="gu_IN" w:bidi="gu_IN"/>
        </w:rPr>
      </w:r>
      <w:r>
        <w:rPr>
          <w:lang w:val="gu_IN" w:bidi="gu_IN"/>
        </w:rPr>
      </w:r>
    </w:p>
    <w:p>
      <w:pPr/>
      <w:r>
        <w:rPr>
          <w:lang w:val="gu_IN" w:bidi="gu_IN"/>
        </w:rPr>
      </w:r>
    </w:p>
    <w:p>
      <w:pPr>
        <w:pStyle w:val="Heading2"/>
      </w:pPr>
      <w:r>
        <w:rPr>
          <w:lang w:val="gu_IN" w:bidi="gu_IN"/>
        </w:rPr>
        <w:t>થોમા</w:t>
      </w:r>
      <w:r>
        <w:rPr>
          <w:lang w:val="gu_IN" w:bidi="gu_IN"/>
        </w:rPr>
      </w:r>
    </w:p>
    <w:p>
      <w:pPr>
        <w:pStyle w:val="Heading3"/>
      </w:pPr>
      <w:r>
        <w:rPr>
          <w:lang w:val="gu_IN" w:bidi="gu_IN"/>
        </w:rPr>
        <w:t>તથ્યો:</w:t>
      </w:r>
    </w:p>
    <w:p>
      <w:pPr/>
      <w:r>
        <w:rPr>
          <w:lang w:val="gu_IN" w:bidi="gu_IN"/>
        </w:rPr>
      </w:r>
      <w:r>
        <w:rPr>
          <w:lang w:val="gu_IN" w:bidi="gu_IN"/>
        </w:rPr>
        <w:t>થોમા બાર માણસોમાંનો એક હતો, જેમને ઈસુએ પોતાના શિષ્યો અને પાછળથી પ્રેરિતો તરીકે પસંદ કર્યા હતા.</w:t>
        <w:br/>
      </w:r>
      <w:r>
        <w:rPr>
          <w:lang w:val="gu_IN" w:bidi="gu_IN"/>
        </w:rPr>
        <w:t>તે "દીદૂમસ" તરીકે પણ જાણીતો હતો, જેનો અર્થ "જોડિયા." થાય છે.</w:t>
      </w:r>
    </w:p>
    <w:p>
      <w:pPr>
        <w:pStyle w:val="ListBullet"/>
        <w:spacing w:line="240" w:lineRule="auto"/>
        <w:ind w:left="720"/>
      </w:pPr>
      <w:r>
        <w:rPr>
          <w:lang w:val="gu_IN" w:bidi="gu_IN"/>
        </w:rPr>
      </w:r>
      <w:r>
        <w:rPr>
          <w:lang w:val="gu_IN" w:bidi="gu_IN"/>
        </w:rPr>
        <w:t>ઈસુના જીવનના અંતની નજીક, તેમણે પોતાના શિષ્યોને કહ્યું કે તેઓ પિતા સાથે રહેવા જશે અને તેઓ તેમની સાથે રહેવા માટે એક જગ્યા તૈયાર કરશે.</w:t>
        <w:br/>
      </w:r>
      <w:r>
        <w:rPr>
          <w:lang w:val="gu_IN" w:bidi="gu_IN"/>
        </w:rPr>
        <w:t>થોમાએ ઇસુને પૂછ્યું કે , જ્યારે તેઓ જાણતા ન હતા કે તેઓ ક્યાં જઈ રહ્યાં હતા ત્યારે.તેઓ ત્યાં જવાનો માર્ગ કેવી રીતે જાણી સકે.</w:t>
      </w:r>
    </w:p>
    <w:p>
      <w:pPr>
        <w:pStyle w:val="ListBullet"/>
        <w:spacing w:line="240" w:lineRule="auto"/>
        <w:ind w:left="720"/>
      </w:pPr>
      <w:r>
        <w:rPr>
          <w:lang w:val="gu_IN" w:bidi="gu_IN"/>
        </w:rPr>
      </w:r>
      <w:r>
        <w:rPr>
          <w:lang w:val="gu_IN" w:bidi="gu_IN"/>
        </w:rPr>
        <w:t>ઈસુ મૃત્યુ પામ્યા અને મૃત્યુમાંથી પાછાં જીવતા થયા પછી, થોમાએ કહ્યું કે, જ્યાં સુધી તે ઇજાગ્રસ્ત થયેલા ઘાને જોશે નહીં અને તેને અનુભવશે નહીં ત્યાં સુધી તે માનશે નહી કે ઈસુ ખરેખર જીવંત છે,</w:t>
      </w:r>
    </w:p>
    <w:p>
      <w:pPr/>
      <w:r>
        <w:rPr>
          <w:lang w:val="gu_IN" w:bidi="gu_IN"/>
        </w:rPr>
      </w:r>
      <w:r>
        <w:rPr>
          <w:lang w:val="gu_IN" w:bidi="gu_IN"/>
        </w:rPr>
        <w:t xml:space="preserve">(અનુવાદ સૂચનો: </w:t>
      </w:r>
      <w:r>
        <w:rPr>
          <w:lang w:val="gu_IN" w:bidi="gu_IN"/>
        </w:rPr>
        <w:t>નામ કેવી રીતે ભાષાંતર કરવું</w:t>
      </w:r>
    </w:p>
    <w:p>
      <w:pPr/>
      <w:r>
        <w:rPr>
          <w:lang w:val="gu_IN" w:bidi="gu_IN"/>
        </w:rPr>
      </w:r>
      <w:r>
        <w:rPr>
          <w:lang w:val="gu_IN" w:bidi="gu_IN"/>
        </w:rPr>
        <w:t xml:space="preserve">(આ પણ જુઓ: </w:t>
      </w:r>
      <w:r>
        <w:rPr>
          <w:lang w:val="gu_IN" w:bidi="gu_IN"/>
        </w:rPr>
        <w:t>પ્રેરિત</w:t>
      </w:r>
      <w:r>
        <w:rPr>
          <w:lang w:val="gu_IN" w:bidi="gu_IN"/>
        </w:rPr>
        <w:t>,</w:t>
      </w:r>
      <w:r>
        <w:rPr>
          <w:lang w:val="gu_IN" w:bidi="gu_IN"/>
        </w:rPr>
        <w:t>શિષ્ય</w:t>
      </w:r>
      <w:r>
        <w:rPr>
          <w:lang w:val="gu_IN" w:bidi="gu_IN"/>
        </w:rPr>
        <w:t>,</w:t>
      </w:r>
      <w:r>
        <w:rPr>
          <w:lang w:val="gu_IN" w:bidi="gu_IN"/>
        </w:rPr>
        <w:t>ઈશ્વર પિતા</w:t>
      </w:r>
      <w:r>
        <w:rPr>
          <w:lang w:val="gu_IN" w:bidi="gu_IN"/>
        </w:rPr>
        <w:t xml:space="preserve">, </w:t>
      </w:r>
      <w:r>
        <w:rPr>
          <w:lang w:val="gu_IN" w:bidi="gu_IN"/>
        </w:rPr>
        <w:t>બાર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1:12–14</w:t>
      </w:r>
    </w:p>
    <w:p>
      <w:pPr>
        <w:pStyle w:val="ListBullet"/>
        <w:spacing w:line="240" w:lineRule="auto"/>
        <w:ind w:left="720"/>
      </w:pPr>
      <w:r>
        <w:rPr>
          <w:lang w:val="gu_IN" w:bidi="gu_IN"/>
        </w:rPr>
      </w:r>
      <w:r>
        <w:rPr>
          <w:lang w:val="gu_IN" w:bidi="gu_IN"/>
        </w:rPr>
        <w:t>યોહાન 11:15–16</w:t>
      </w:r>
    </w:p>
    <w:p>
      <w:pPr>
        <w:pStyle w:val="ListBullet"/>
        <w:spacing w:line="240" w:lineRule="auto"/>
        <w:ind w:left="720"/>
      </w:pPr>
      <w:r>
        <w:rPr>
          <w:lang w:val="gu_IN" w:bidi="gu_IN"/>
        </w:rPr>
      </w:r>
      <w:r>
        <w:rPr>
          <w:lang w:val="gu_IN" w:bidi="gu_IN"/>
        </w:rPr>
        <w:t>લુક 6:14–16</w:t>
      </w:r>
    </w:p>
    <w:p>
      <w:pPr>
        <w:pStyle w:val="ListBullet"/>
        <w:spacing w:line="240" w:lineRule="auto"/>
        <w:ind w:left="720"/>
      </w:pPr>
      <w:r>
        <w:rPr>
          <w:lang w:val="gu_IN" w:bidi="gu_IN"/>
        </w:rPr>
      </w:r>
      <w:r>
        <w:rPr>
          <w:lang w:val="gu_IN" w:bidi="gu_IN"/>
        </w:rPr>
        <w:t>માર્ક 3:17–19</w:t>
      </w:r>
    </w:p>
    <w:p>
      <w:pPr>
        <w:pStyle w:val="ListBullet"/>
        <w:spacing w:line="240" w:lineRule="auto"/>
        <w:ind w:left="720"/>
      </w:pPr>
      <w:r>
        <w:rPr>
          <w:lang w:val="gu_IN" w:bidi="gu_IN"/>
        </w:rPr>
      </w:r>
      <w:r>
        <w:rPr>
          <w:lang w:val="gu_IN" w:bidi="gu_IN"/>
        </w:rPr>
        <w:t>માથ્થી 10:2–4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G2381</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