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ध्यान</w:t>
      </w:r>
      <w:r>
        <w:rPr>
          <w:lang w:val="hi_IN" w:bidi="hi_IN"/>
        </w:rPr>
      </w:r>
    </w:p>
    <w:p>
      <w:pPr>
        <w:pStyle w:val="Heading3"/>
      </w:pPr>
      <w:r>
        <w:rPr>
          <w:lang w:val="hi_IN" w:bidi="hi_IN"/>
        </w:rPr>
        <w:t>परिभाषा:</w:t>
      </w:r>
    </w:p>
    <w:p>
      <w:pPr/>
      <w:r>
        <w:rPr>
          <w:lang w:val="hi_IN" w:bidi="hi_IN"/>
        </w:rPr>
      </w:r>
      <w:r>
        <w:rPr>
          <w:lang w:val="hi_IN" w:bidi="hi_IN"/>
        </w:rPr>
        <w:t>“बिचवई” अर्थात किसी बात पर सावधानी-पूर्वक और गहन चिन्तन करना।</w:t>
      </w:r>
    </w:p>
    <w:p>
      <w:pPr>
        <w:pStyle w:val="ListBullet"/>
        <w:spacing w:line="240" w:lineRule="auto"/>
        <w:ind w:left="720"/>
      </w:pPr>
      <w:r>
        <w:rPr>
          <w:lang w:val="hi_IN" w:bidi="hi_IN"/>
        </w:rPr>
      </w:r>
      <w:r>
        <w:rPr>
          <w:lang w:val="hi_IN" w:bidi="hi_IN"/>
        </w:rPr>
        <w:t>बाइबल में इस शब्द का उपयोग प्रायः परमेश्वर और उसकी शिक्षाओं पर विचार करने के लिए काम में किया गया है।</w:t>
      </w:r>
    </w:p>
    <w:p>
      <w:pPr>
        <w:pStyle w:val="ListBullet"/>
        <w:spacing w:line="240" w:lineRule="auto"/>
        <w:ind w:left="720"/>
      </w:pPr>
      <w:r>
        <w:rPr>
          <w:lang w:val="hi_IN" w:bidi="hi_IN"/>
        </w:rPr>
      </w:r>
      <w:r>
        <w:rPr>
          <w:lang w:val="hi_IN" w:bidi="hi_IN"/>
        </w:rPr>
        <w:t>भजन 1 में लिखा है कि वह मनुष्य जो “दिन रात” परमेश्वर की व्यवस्था पर मनन करता है, धन्य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“बिचवई” का अनुवाद हो सकता है, “सावधानी-पूर्वक गहन चिन्तन करना” या “ध्यान-मग्न होकर गहन विचार करना” या “बार-बार सोचना”।</w:t>
      </w:r>
    </w:p>
    <w:p>
      <w:pPr>
        <w:pStyle w:val="ListBullet"/>
        <w:spacing w:line="240" w:lineRule="auto"/>
        <w:ind w:left="720"/>
      </w:pPr>
      <w:r>
        <w:rPr>
          <w:lang w:val="hi_IN" w:bidi="hi_IN"/>
        </w:rPr>
      </w:r>
      <w:r>
        <w:rPr>
          <w:lang w:val="hi_IN" w:bidi="hi_IN"/>
        </w:rPr>
        <w:t>इसका संज्ञा रूप है, “ध्यान” और इसका अनुवाद “गहन विचार” हो सकता है। “मेरे मन के विचार” का अनुवाद हो सकता है, “मैं जिसका गहन चिन्तन करता हूं” या “मै अक्सर किस बारे में सोचता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24:63–65</w:t>
      </w:r>
    </w:p>
    <w:p>
      <w:pPr>
        <w:pStyle w:val="ListBullet"/>
        <w:spacing w:line="240" w:lineRule="auto"/>
        <w:ind w:left="720"/>
      </w:pPr>
      <w:r>
        <w:rPr>
          <w:lang w:val="hi_IN" w:bidi="hi_IN"/>
        </w:rPr>
      </w:r>
      <w:r>
        <w:rPr>
          <w:lang w:val="hi_IN" w:bidi="hi_IN"/>
        </w:rPr>
        <w:t>यहोशू 01:8–9</w:t>
      </w:r>
    </w:p>
    <w:p>
      <w:pPr>
        <w:pStyle w:val="ListBullet"/>
        <w:spacing w:line="240" w:lineRule="auto"/>
        <w:ind w:left="720"/>
      </w:pPr>
      <w:r>
        <w:rPr>
          <w:lang w:val="hi_IN" w:bidi="hi_IN"/>
        </w:rPr>
      </w:r>
      <w:r>
        <w:rPr>
          <w:lang w:val="hi_IN" w:bidi="hi_IN"/>
        </w:rPr>
        <w:t>भजन संहिता 001:1–2</w:t>
      </w:r>
    </w:p>
    <w:p>
      <w:pPr>
        <w:pStyle w:val="ListBullet"/>
        <w:spacing w:line="240" w:lineRule="auto"/>
        <w:ind w:left="720"/>
      </w:pPr>
      <w:r>
        <w:rPr>
          <w:lang w:val="hi_IN" w:bidi="hi_IN"/>
        </w:rPr>
      </w:r>
      <w:r>
        <w:rPr>
          <w:lang w:val="hi_IN" w:bidi="hi_IN"/>
        </w:rPr>
        <w:t>भजन संहिता 119:15–16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H1897, H1900, H1901, H1902, H7742, H7878, H7879, H7881, G3191, G4304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