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哥林多</w:t>
      </w:r>
      <w:r>
        <w:rPr>
          <w:lang w:val="zh_TW" w:bidi="zh_TW"/>
        </w:rPr>
      </w:r>
    </w:p>
    <w:p>
      <w:pPr>
        <w:pStyle w:val="Heading3"/>
      </w:pPr>
      <w:r>
        <w:rPr>
          <w:lang w:val="zh_TW" w:bidi="zh_TW"/>
        </w:rPr>
        <w:t>史實：</w:t>
      </w:r>
    </w:p>
    <w:p>
      <w:pPr/>
      <w:r>
        <w:rPr>
          <w:lang w:val="zh_TW" w:bidi="zh_TW"/>
        </w:rPr>
      </w:r>
      <w:r>
        <w:rPr>
          <w:lang w:val="zh_TW" w:bidi="zh_TW"/>
        </w:rPr>
        <w:t>哥林多是希臘的一個城，位於雅典以西約50英里處。哥林多人是居住在哥林多的人。</w:t>
      </w:r>
    </w:p>
    <w:p>
      <w:pPr>
        <w:pStyle w:val="ListBullet"/>
        <w:spacing w:line="240" w:lineRule="auto"/>
        <w:ind w:left="720"/>
      </w:pPr>
      <w:r>
        <w:rPr>
          <w:lang w:val="zh_TW" w:bidi="zh_TW"/>
        </w:rPr>
      </w:r>
      <w:r>
        <w:rPr>
          <w:lang w:val="zh_TW" w:bidi="zh_TW"/>
        </w:rPr>
        <w:t>哥林多是早期基督徒教會的一個所在地。</w:t>
      </w:r>
    </w:p>
    <w:p>
      <w:pPr>
        <w:pStyle w:val="ListBullet"/>
        <w:spacing w:line="240" w:lineRule="auto"/>
        <w:ind w:left="720"/>
      </w:pPr>
      <w:r>
        <w:rPr>
          <w:lang w:val="zh_TW" w:bidi="zh_TW"/>
        </w:rPr>
      </w:r>
      <w:r>
        <w:rPr>
          <w:lang w:val="zh_TW" w:bidi="zh_TW"/>
        </w:rPr>
        <w:t>新約聖經中的哥林多前書和哥林多後書是保羅寫給居住在哥林多的基督徒的信件。</w:t>
      </w:r>
    </w:p>
    <w:p>
      <w:pPr>
        <w:pStyle w:val="ListBullet"/>
        <w:spacing w:line="240" w:lineRule="auto"/>
        <w:ind w:left="720"/>
      </w:pPr>
      <w:r>
        <w:rPr>
          <w:lang w:val="zh_TW" w:bidi="zh_TW"/>
        </w:rPr>
      </w:r>
      <w:r>
        <w:rPr>
          <w:lang w:val="zh_TW" w:bidi="zh_TW"/>
        </w:rPr>
        <w:t>在他的第一次宣教旅程中，保羅在哥林多停留了大約18個月。</w:t>
      </w:r>
    </w:p>
    <w:p>
      <w:pPr>
        <w:pStyle w:val="ListBullet"/>
        <w:spacing w:line="240" w:lineRule="auto"/>
        <w:ind w:left="720"/>
      </w:pPr>
      <w:r>
        <w:rPr>
          <w:lang w:val="zh_TW" w:bidi="zh_TW"/>
        </w:rPr>
      </w:r>
      <w:r>
        <w:rPr>
          <w:lang w:val="zh_TW" w:bidi="zh_TW"/>
        </w:rPr>
        <w:t>保羅在哥林多時遇見了信徒亞居拉和百基拉。</w:t>
      </w:r>
    </w:p>
    <w:p>
      <w:pPr>
        <w:pStyle w:val="ListBullet"/>
        <w:spacing w:line="240" w:lineRule="auto"/>
        <w:ind w:left="720"/>
      </w:pPr>
      <w:r>
        <w:rPr>
          <w:lang w:val="zh_TW" w:bidi="zh_TW"/>
        </w:rPr>
      </w:r>
      <w:r>
        <w:rPr>
          <w:lang w:val="zh_TW" w:bidi="zh_TW"/>
        </w:rPr>
        <w:t>與哥林多有關的其他早期教會領袖包括提摩太、提多、亞波羅和西拉。</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亞波羅，</w:t>
      </w:r>
      <w:r>
        <w:rPr>
          <w:lang w:val="zh_TW" w:bidi="zh_TW"/>
        </w:rPr>
        <w:t>提摩太</w:t>
      </w:r>
      <w:r>
        <w:rPr>
          <w:lang w:val="zh_TW" w:bidi="zh_TW"/>
        </w:rPr>
        <w:t>，</w:t>
      </w:r>
      <w:r>
        <w:rPr>
          <w:lang w:val="zh_TW" w:bidi="zh_TW"/>
        </w:rPr>
        <w:t>提多</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哥林多前書1:3</w:t>
      </w:r>
    </w:p>
    <w:p>
      <w:pPr>
        <w:pStyle w:val="ListBullet"/>
        <w:spacing w:line="240" w:lineRule="auto"/>
        <w:ind w:left="720"/>
      </w:pPr>
      <w:r>
        <w:rPr>
          <w:lang w:val="zh_TW" w:bidi="zh_TW"/>
        </w:rPr>
      </w:r>
      <w:r>
        <w:rPr>
          <w:lang w:val="zh_TW" w:bidi="zh_TW"/>
        </w:rPr>
        <w:t>哥林多後書591201:23–24</w:t>
      </w:r>
    </w:p>
    <w:p>
      <w:pPr>
        <w:pStyle w:val="ListBullet"/>
        <w:spacing w:line="240" w:lineRule="auto"/>
        <w:ind w:left="720"/>
      </w:pPr>
      <w:r>
        <w:rPr>
          <w:lang w:val="zh_TW" w:bidi="zh_TW"/>
        </w:rPr>
      </w:r>
      <w:r>
        <w:rPr>
          <w:lang w:val="zh_TW" w:bidi="zh_TW"/>
        </w:rPr>
        <w:t>提摩太後書4:19–22</w:t>
      </w:r>
    </w:p>
    <w:p>
      <w:pPr>
        <w:pStyle w:val="ListBullet"/>
        <w:spacing w:line="240" w:lineRule="auto"/>
        <w:ind w:left="720"/>
      </w:pPr>
      <w:r>
        <w:rPr>
          <w:lang w:val="zh_TW" w:bidi="zh_TW"/>
        </w:rPr>
      </w:r>
      <w:r>
        <w:rPr>
          <w:lang w:val="zh_TW" w:bidi="zh_TW"/>
        </w:rPr>
        <w:t>使徒行傳18:1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史特朗號：G28810，G28820</w:t>
      </w:r>
      <w:r>
        <w:rPr>
          <w:lang w:val="zh_TW" w:bidi="zh_TW"/>
        </w:rPr>
      </w:r>
      <w:r>
        <w:rPr>
          <w:lang w:val="zh_TW" w:bidi="zh_TW"/>
        </w:rPr>
      </w:r>
    </w:p>
    <w:p>
      <w:pPr/>
      <w:r>
        <w:rPr>
          <w:lang w:val="zh_TW" w:bidi="zh_TW"/>
        </w:rPr>
      </w:r>
    </w:p>
    <w:p>
      <w:pPr>
        <w:pStyle w:val="Heading2"/>
      </w:pPr>
      <w:r>
        <w:rPr>
          <w:lang w:val="zh_TW" w:bidi="zh_TW"/>
        </w:rPr>
        <w:t>哥尼流</w:t>
      </w:r>
      <w:r>
        <w:rPr>
          <w:lang w:val="zh_TW" w:bidi="zh_TW"/>
        </w:rPr>
      </w:r>
    </w:p>
    <w:p>
      <w:pPr>
        <w:pStyle w:val="Heading3"/>
      </w:pPr>
      <w:r>
        <w:rPr>
          <w:lang w:val="zh_TW" w:bidi="zh_TW"/>
        </w:rPr>
        <w:t>史實：</w:t>
      </w:r>
    </w:p>
    <w:p>
      <w:pPr/>
      <w:r>
        <w:rPr>
          <w:lang w:val="zh_TW" w:bidi="zh_TW"/>
        </w:rPr>
      </w:r>
      <w:r>
        <w:rPr>
          <w:lang w:val="zh_TW" w:bidi="zh_TW"/>
        </w:rPr>
        <w:t>哥尼流是一個外邦人，即非猶太人，他是一名羅馬軍隊的軍官。</w:t>
      </w:r>
    </w:p>
    <w:p>
      <w:pPr>
        <w:pStyle w:val="ListBullet"/>
        <w:spacing w:line="240" w:lineRule="auto"/>
        <w:ind w:left="720"/>
      </w:pPr>
      <w:r>
        <w:rPr>
          <w:lang w:val="zh_TW" w:bidi="zh_TW"/>
        </w:rPr>
      </w:r>
      <w:r>
        <w:rPr>
          <w:lang w:val="zh_TW" w:bidi="zh_TW"/>
        </w:rPr>
        <w:t>他經常向神禱告，並且非常慷慨地施捨給窮人。</w:t>
      </w:r>
    </w:p>
    <w:p>
      <w:pPr>
        <w:pStyle w:val="ListBullet"/>
        <w:spacing w:line="240" w:lineRule="auto"/>
        <w:ind w:left="720"/>
      </w:pPr>
      <w:r>
        <w:rPr>
          <w:lang w:val="zh_TW" w:bidi="zh_TW"/>
        </w:rPr>
      </w:r>
      <w:r>
        <w:rPr>
          <w:lang w:val="zh_TW" w:bidi="zh_TW"/>
        </w:rPr>
        <w:t>當哥尼流和他的家人聽到使徒彼得講解福音時，他們成為了耶穌的信徒。</w:t>
      </w:r>
    </w:p>
    <w:p>
      <w:pPr>
        <w:pStyle w:val="ListBullet"/>
        <w:spacing w:line="240" w:lineRule="auto"/>
        <w:ind w:left="720"/>
      </w:pPr>
      <w:r>
        <w:rPr>
          <w:lang w:val="zh_TW" w:bidi="zh_TW"/>
        </w:rPr>
      </w:r>
      <w:r>
        <w:rPr>
          <w:lang w:val="zh_TW" w:bidi="zh_TW"/>
        </w:rPr>
        <w:t>哥尼流家裡的人是第一批成為信徒的非猶太人。</w:t>
      </w:r>
    </w:p>
    <w:p>
      <w:pPr>
        <w:pStyle w:val="ListBullet"/>
        <w:spacing w:line="240" w:lineRule="auto"/>
        <w:ind w:left="720"/>
      </w:pPr>
      <w:r>
        <w:rPr>
          <w:lang w:val="zh_TW" w:bidi="zh_TW"/>
        </w:rPr>
      </w:r>
      <w:r>
        <w:rPr>
          <w:lang w:val="zh_TW" w:bidi="zh_TW"/>
        </w:rPr>
        <w:t>這向耶穌的跟隨者表明，耶穌來是為拯救所有人，包括外邦人。</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使徒</w:t>
      </w:r>
      <w:r>
        <w:rPr>
          <w:lang w:val="zh_TW" w:bidi="zh_TW"/>
        </w:rPr>
        <w:t>，</w:t>
      </w:r>
      <w:r>
        <w:rPr>
          <w:lang w:val="zh_TW" w:bidi="zh_TW"/>
        </w:rPr>
        <w:t>信</w:t>
      </w:r>
      <w:r>
        <w:rPr>
          <w:lang w:val="zh_TW" w:bidi="zh_TW"/>
        </w:rPr>
        <w:t>，</w:t>
      </w:r>
      <w:r>
        <w:rPr>
          <w:lang w:val="zh_TW" w:bidi="zh_TW"/>
        </w:rPr>
        <w:t>外邦人</w:t>
      </w:r>
      <w:r>
        <w:rPr>
          <w:lang w:val="zh_TW" w:bidi="zh_TW"/>
        </w:rPr>
        <w:t>，</w:t>
      </w:r>
      <w:r>
        <w:rPr>
          <w:lang w:val="zh_TW" w:bidi="zh_TW"/>
        </w:rPr>
        <w:t>好消息</w:t>
      </w:r>
      <w:r>
        <w:rPr>
          <w:lang w:val="zh_TW" w:bidi="zh_TW"/>
        </w:rPr>
        <w:t>，</w:t>
      </w:r>
      <w:r>
        <w:rPr>
          <w:lang w:val="zh_TW" w:bidi="zh_TW"/>
        </w:rPr>
        <w:t>希臘人</w:t>
      </w:r>
      <w:r>
        <w:rPr>
          <w:lang w:val="zh_TW" w:bidi="zh_TW"/>
        </w:rPr>
        <w:t>，</w:t>
      </w:r>
      <w:r>
        <w:rPr>
          <w:lang w:val="zh_TW" w:bidi="zh_TW"/>
        </w:rPr>
        <w:t>百夫長</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使徒行傳10:1</w:t>
      </w:r>
    </w:p>
    <w:p>
      <w:pPr>
        <w:pStyle w:val="ListBullet"/>
        <w:spacing w:line="240" w:lineRule="auto"/>
        <w:ind w:left="720"/>
      </w:pPr>
      <w:r>
        <w:rPr>
          <w:lang w:val="zh_TW" w:bidi="zh_TW"/>
        </w:rPr>
      </w:r>
      <w:r>
        <w:rPr>
          <w:lang w:val="zh_TW" w:bidi="zh_TW"/>
        </w:rPr>
        <w:t>使徒行傳10:8</w:t>
      </w:r>
    </w:p>
    <w:p>
      <w:pPr>
        <w:pStyle w:val="ListBullet"/>
        <w:spacing w:line="240" w:lineRule="auto"/>
        <w:ind w:left="720"/>
      </w:pPr>
      <w:r>
        <w:rPr>
          <w:lang w:val="zh_TW" w:bidi="zh_TW"/>
        </w:rPr>
      </w:r>
      <w:r>
        <w:rPr>
          <w:lang w:val="zh_TW" w:bidi="zh_TW"/>
        </w:rPr>
        <w:t>使徒行傳10:18</w:t>
      </w:r>
    </w:p>
    <w:p>
      <w:pPr>
        <w:pStyle w:val="ListBullet"/>
        <w:spacing w:line="240" w:lineRule="auto"/>
        <w:ind w:left="720"/>
      </w:pPr>
      <w:r>
        <w:rPr>
          <w:lang w:val="zh_TW" w:bidi="zh_TW"/>
        </w:rPr>
      </w:r>
      <w:r>
        <w:rPr>
          <w:lang w:val="zh_TW" w:bidi="zh_TW"/>
        </w:rPr>
        <w:t>使徒行傳10:22</w:t>
      </w:r>
    </w:p>
    <w:p>
      <w:pPr>
        <w:pStyle w:val="ListBullet"/>
        <w:spacing w:line="240" w:lineRule="auto"/>
        <w:ind w:left="720"/>
      </w:pPr>
      <w:r>
        <w:rPr>
          <w:lang w:val="zh_TW" w:bidi="zh_TW"/>
        </w:rPr>
      </w:r>
      <w:r>
        <w:rPr>
          <w:lang w:val="zh_TW" w:bidi="zh_TW"/>
        </w:rPr>
        <w:t>使徒行傳10:24</w:t>
      </w:r>
    </w:p>
    <w:p>
      <w:pPr>
        <w:pStyle w:val="ListBullet"/>
        <w:spacing w:line="240" w:lineRule="auto"/>
        <w:ind w:left="720"/>
      </w:pPr>
      <w:r>
        <w:rPr>
          <w:lang w:val="zh_TW" w:bidi="zh_TW"/>
        </w:rPr>
      </w:r>
      <w:r>
        <w:rPr>
          <w:lang w:val="zh_TW" w:bidi="zh_TW"/>
        </w:rPr>
        <w:t>使徒行傳10:26</w:t>
      </w:r>
    </w:p>
    <w:p>
      <w:pPr>
        <w:pStyle w:val="ListBullet"/>
        <w:spacing w:line="240" w:lineRule="auto"/>
        <w:ind w:left="720"/>
      </w:pPr>
      <w:r>
        <w:rPr>
          <w:lang w:val="zh_TW" w:bidi="zh_TW"/>
        </w:rPr>
      </w:r>
      <w:r>
        <w:rPr>
          <w:lang w:val="zh_TW" w:bidi="zh_TW"/>
        </w:rPr>
        <w:t>使徒行傳10:30</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史特朗號：G28830</w:t>
      </w:r>
      <w:r>
        <w:rPr>
          <w:lang w:val="zh_TW" w:bidi="zh_TW"/>
        </w:rPr>
      </w:r>
      <w:r>
        <w:rPr>
          <w:lang w:val="zh_TW" w:bidi="zh_TW"/>
        </w:rPr>
      </w:r>
    </w:p>
    <w:p>
      <w:pPr/>
      <w:r>
        <w:rPr>
          <w:lang w:val="zh_TW" w:bidi="zh_TW"/>
        </w:rPr>
      </w:r>
    </w:p>
    <w:p>
      <w:pPr>
        <w:pStyle w:val="Heading2"/>
      </w:pPr>
      <w:r>
        <w:rPr>
          <w:lang w:val="zh_TW" w:bidi="zh_TW"/>
        </w:rPr>
        <w:t>割禮</w:t>
      </w:r>
      <w:r>
        <w:rPr>
          <w:lang w:val="zh_TW" w:bidi="zh_TW"/>
        </w:rPr>
      </w:r>
    </w:p>
    <w:p>
      <w:pPr>
        <w:pStyle w:val="Heading3"/>
      </w:pPr>
      <w:r>
        <w:rPr>
          <w:lang w:val="zh_TW" w:bidi="zh_TW"/>
        </w:rPr>
        <w:t>定義：</w:t>
      </w:r>
    </w:p>
    <w:p>
      <w:pPr/>
      <w:r>
        <w:rPr>
          <w:lang w:val="zh_TW" w:bidi="zh_TW"/>
        </w:rPr>
      </w:r>
      <w:r>
        <w:rPr>
          <w:lang w:val="zh_TW" w:bidi="zh_TW"/>
        </w:rPr>
        <w:t>「行割禮」一詞是指割去男性或男童的包皮。有時也會舉行割禮儀式來進行這一過程。</w:t>
      </w:r>
    </w:p>
    <w:p>
      <w:pPr>
        <w:pStyle w:val="ListBullet"/>
        <w:spacing w:line="240" w:lineRule="auto"/>
        <w:ind w:left="720"/>
      </w:pPr>
      <w:r>
        <w:rPr>
          <w:lang w:val="zh_TW" w:bidi="zh_TW"/>
        </w:rPr>
      </w:r>
      <w:r>
        <w:rPr>
          <w:lang w:val="zh_TW" w:bidi="zh_TW"/>
        </w:rPr>
        <w:t>神命令亞伯拉罕要為他的家人和僕人中的每個男性行割禮，作為祂與他們所立之約的記號。</w:t>
      </w:r>
    </w:p>
    <w:p>
      <w:pPr>
        <w:pStyle w:val="ListBullet"/>
        <w:spacing w:line="240" w:lineRule="auto"/>
        <w:ind w:left="720"/>
      </w:pPr>
      <w:r>
        <w:rPr>
          <w:lang w:val="zh_TW" w:bidi="zh_TW"/>
        </w:rPr>
      </w:r>
      <w:r>
        <w:rPr>
          <w:lang w:val="zh_TW" w:bidi="zh_TW"/>
        </w:rPr>
        <w:t>神還命令亞伯拉罕的後代要繼續為家中的每一個男嬰行割禮。</w:t>
      </w:r>
    </w:p>
    <w:p>
      <w:pPr>
        <w:pStyle w:val="ListBullet"/>
        <w:spacing w:line="240" w:lineRule="auto"/>
        <w:ind w:left="720"/>
      </w:pPr>
      <w:r>
        <w:rPr>
          <w:lang w:val="zh_TW" w:bidi="zh_TW"/>
        </w:rPr>
      </w:r>
      <w:r>
        <w:rPr>
          <w:lang w:val="zh_TW" w:bidi="zh_TW"/>
        </w:rPr>
        <w:t>「心裡的割禮」這個詞比喻性地指的是將罪「切除」或「除去」的過程。</w:t>
      </w:r>
    </w:p>
    <w:p>
      <w:pPr>
        <w:pStyle w:val="ListBullet"/>
        <w:spacing w:line="240" w:lineRule="auto"/>
        <w:ind w:left="720"/>
      </w:pPr>
      <w:r>
        <w:rPr>
          <w:lang w:val="zh_TW" w:bidi="zh_TW"/>
        </w:rPr>
      </w:r>
      <w:r>
        <w:rPr>
          <w:lang w:val="zh_TW" w:bidi="zh_TW"/>
        </w:rPr>
        <w:t>在屬靈的意義上，「受割禮的人」指的是那些通過耶穌的寶血被神潔淨、屬於祂的人。</w:t>
      </w:r>
    </w:p>
    <w:p>
      <w:pPr>
        <w:pStyle w:val="ListBullet"/>
        <w:spacing w:line="240" w:lineRule="auto"/>
        <w:ind w:left="720"/>
      </w:pPr>
      <w:r>
        <w:rPr>
          <w:lang w:val="zh_TW" w:bidi="zh_TW"/>
        </w:rPr>
      </w:r>
      <w:r>
        <w:rPr>
          <w:lang w:val="zh_TW" w:bidi="zh_TW"/>
        </w:rPr>
        <w:t>「未受割禮」指的是那些沒有接受身體割禮的人。這個詞也可以比喻那些未受屬靈割禮、沒有與神建立關係的人。</w:t>
      </w:r>
    </w:p>
    <w:p>
      <w:pPr/>
      <w:r>
        <w:rPr>
          <w:lang w:val="zh_TW" w:bidi="zh_TW"/>
        </w:rPr>
      </w:r>
      <w:r>
        <w:rPr>
          <w:lang w:val="zh_TW" w:bidi="zh_TW"/>
        </w:rPr>
        <w:t>「未受割禮」和「不受割禮」這些術語指的是未經過身體割禮的男性。這些術語也被用作比喻。</w:t>
      </w:r>
    </w:p>
    <w:p>
      <w:pPr>
        <w:pStyle w:val="ListBullet"/>
        <w:spacing w:line="240" w:lineRule="auto"/>
        <w:ind w:left="720"/>
      </w:pPr>
      <w:r>
        <w:rPr>
          <w:lang w:val="zh_TW" w:bidi="zh_TW"/>
        </w:rPr>
      </w:r>
      <w:r>
        <w:rPr>
          <w:lang w:val="zh_TW" w:bidi="zh_TW"/>
        </w:rPr>
        <w:t>埃及是一個要求行割禮的國。因此，當神提到埃及被「未受割禮的人」打敗時，祂是指埃及人所鄙視的那些未受割禮的人。</w:t>
      </w:r>
    </w:p>
    <w:p>
      <w:pPr>
        <w:pStyle w:val="ListBullet"/>
        <w:spacing w:line="240" w:lineRule="auto"/>
        <w:ind w:left="720"/>
      </w:pPr>
      <w:r>
        <w:rPr>
          <w:lang w:val="zh_TW" w:bidi="zh_TW"/>
        </w:rPr>
      </w:r>
      <w:r>
        <w:rPr>
          <w:lang w:val="zh_TW" w:bidi="zh_TW"/>
        </w:rPr>
        <w:t>聖經提到那些「未受割禮的心」或「心未受割禮」的人，這是比喻說他們不是神的子民，並且頑固地不順服祂。</w:t>
      </w:r>
    </w:p>
    <w:p>
      <w:pPr>
        <w:pStyle w:val="ListBullet"/>
        <w:spacing w:line="240" w:lineRule="auto"/>
        <w:ind w:left="720"/>
      </w:pPr>
      <w:r>
        <w:rPr>
          <w:lang w:val="zh_TW" w:bidi="zh_TW"/>
        </w:rPr>
      </w:r>
      <w:r>
        <w:rPr>
          <w:lang w:val="zh_TW" w:bidi="zh_TW"/>
        </w:rPr>
        <w:t>如果某種語言中有用來指割禮的詞，「未受割禮的人」可以翻譯為「未行割禮的人」。</w:t>
      </w:r>
    </w:p>
    <w:p>
      <w:pPr>
        <w:pStyle w:val="ListBullet"/>
        <w:spacing w:line="240" w:lineRule="auto"/>
        <w:ind w:left="720"/>
      </w:pPr>
      <w:r>
        <w:rPr>
          <w:lang w:val="zh_TW" w:bidi="zh_TW"/>
        </w:rPr>
      </w:r>
      <w:r>
        <w:rPr>
          <w:lang w:val="zh_TW" w:bidi="zh_TW"/>
        </w:rPr>
        <w:t>「未受割禮」可以翻譯為「沒有行割禮的人」或「不屬於神的人」，具體取決於上下文。</w:t>
      </w:r>
    </w:p>
    <w:p>
      <w:pPr>
        <w:pStyle w:val="ListBullet"/>
        <w:spacing w:line="240" w:lineRule="auto"/>
        <w:ind w:left="720"/>
      </w:pPr>
      <w:r>
        <w:rPr>
          <w:lang w:val="zh_TW" w:bidi="zh_TW"/>
        </w:rPr>
      </w:r>
      <w:r>
        <w:rPr>
          <w:lang w:val="zh_TW" w:bidi="zh_TW"/>
        </w:rPr>
        <w:t>其它翻譯這個詞比喻性含義的方式可以包括「不屬於神的人」或「像那些不屬於神的人一樣叛逆的人」或「沒有任何屬於神的記號的人」。</w:t>
      </w:r>
    </w:p>
    <w:p>
      <w:pPr>
        <w:pStyle w:val="ListBullet"/>
        <w:spacing w:line="240" w:lineRule="auto"/>
        <w:ind w:left="720"/>
      </w:pPr>
      <w:r>
        <w:rPr>
          <w:lang w:val="zh_TW" w:bidi="zh_TW"/>
        </w:rPr>
      </w:r>
      <w:r>
        <w:rPr>
          <w:lang w:val="zh_TW" w:bidi="zh_TW"/>
        </w:rPr>
        <w:t>「心未受割禮」這個表達可以翻譯為「極悖逆的」或「拒絕相信」。然而，如果可能的話，最好保留這個表達或類似的表達，因為屬靈的割禮是一個重要的概念。</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如果目標語言的文化中男性有行割禮的習俗，則應該使用指這個習俗的詞來翻譯這個術語。</w:t>
      </w:r>
    </w:p>
    <w:p>
      <w:pPr>
        <w:pStyle w:val="ListBullet"/>
        <w:spacing w:line="240" w:lineRule="auto"/>
        <w:ind w:left="720"/>
      </w:pPr>
      <w:r>
        <w:rPr>
          <w:lang w:val="zh_TW" w:bidi="zh_TW"/>
        </w:rPr>
      </w:r>
      <w:r>
        <w:rPr>
          <w:lang w:val="zh_TW" w:bidi="zh_TW"/>
        </w:rPr>
        <w:t>其它翻譯這個術語的方式可以是「環割」或「圍著切」或「切除包皮」。</w:t>
      </w:r>
    </w:p>
    <w:p>
      <w:pPr>
        <w:pStyle w:val="ListBullet"/>
        <w:spacing w:line="240" w:lineRule="auto"/>
        <w:ind w:left="720"/>
      </w:pPr>
      <w:r>
        <w:rPr>
          <w:lang w:val="zh_TW" w:bidi="zh_TW"/>
        </w:rPr>
      </w:r>
      <w:r>
        <w:rPr>
          <w:lang w:val="zh_TW" w:bidi="zh_TW"/>
        </w:rPr>
        <w:t>在不知曉割禮的文化中，可能需要在註腳或詞彙表中解釋。</w:t>
      </w:r>
    </w:p>
    <w:p>
      <w:pPr>
        <w:pStyle w:val="ListBullet"/>
        <w:spacing w:line="240" w:lineRule="auto"/>
        <w:ind w:left="720"/>
      </w:pPr>
      <w:r>
        <w:rPr>
          <w:lang w:val="zh_TW" w:bidi="zh_TW"/>
        </w:rPr>
      </w:r>
      <w:r>
        <w:rPr>
          <w:lang w:val="zh_TW" w:bidi="zh_TW"/>
        </w:rPr>
        <w:t>確保用來翻譯的詞不會用來指女性。可能需要使用一個詞或短語來包括「男性」的意思。</w:t>
      </w:r>
    </w:p>
    <w:p>
      <w:pPr/>
      <w:r>
        <w:rPr>
          <w:lang w:val="zh_TW" w:bidi="zh_TW"/>
        </w:rPr>
      </w:r>
      <w:r>
        <w:rPr>
          <w:lang w:val="zh_TW" w:bidi="zh_TW"/>
        </w:rPr>
        <w:t>（另見：如何翻譯未知內容）</w:t>
      </w:r>
    </w:p>
    <w:p>
      <w:pPr/>
      <w:r>
        <w:rPr>
          <w:lang w:val="zh_TW" w:bidi="zh_TW"/>
        </w:rPr>
      </w:r>
      <w:r>
        <w:rPr>
          <w:lang w:val="zh_TW" w:bidi="zh_TW"/>
        </w:rPr>
        <w:t>（另見：</w:t>
      </w:r>
      <w:r>
        <w:rPr>
          <w:lang w:val="zh_TW" w:bidi="zh_TW"/>
        </w:rPr>
        <w:t>亞伯拉罕</w:t>
      </w:r>
      <w:r>
        <w:rPr>
          <w:lang w:val="zh_TW" w:bidi="zh_TW"/>
        </w:rPr>
        <w:t>，</w:t>
      </w:r>
      <w:r>
        <w:rPr>
          <w:lang w:val="zh_TW" w:bidi="zh_TW"/>
        </w:rPr>
        <w:t>約</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創世記17:11</w:t>
      </w:r>
    </w:p>
    <w:p>
      <w:pPr>
        <w:pStyle w:val="ListBullet"/>
        <w:spacing w:line="240" w:lineRule="auto"/>
        <w:ind w:left="720"/>
      </w:pPr>
      <w:r>
        <w:rPr>
          <w:lang w:val="zh_TW" w:bidi="zh_TW"/>
        </w:rPr>
      </w:r>
      <w:r>
        <w:rPr>
          <w:lang w:val="zh_TW" w:bidi="zh_TW"/>
        </w:rPr>
        <w:t>創世記17:14</w:t>
      </w:r>
    </w:p>
    <w:p>
      <w:pPr>
        <w:pStyle w:val="ListBullet"/>
        <w:spacing w:line="240" w:lineRule="auto"/>
        <w:ind w:left="720"/>
      </w:pPr>
      <w:r>
        <w:rPr>
          <w:lang w:val="zh_TW" w:bidi="zh_TW"/>
        </w:rPr>
      </w:r>
      <w:r>
        <w:rPr>
          <w:lang w:val="zh_TW" w:bidi="zh_TW"/>
        </w:rPr>
        <w:t>出埃及記12:48</w:t>
      </w:r>
    </w:p>
    <w:p>
      <w:pPr>
        <w:pStyle w:val="ListBullet"/>
        <w:spacing w:line="240" w:lineRule="auto"/>
        <w:ind w:left="720"/>
      </w:pPr>
      <w:r>
        <w:rPr>
          <w:lang w:val="zh_TW" w:bidi="zh_TW"/>
        </w:rPr>
      </w:r>
      <w:r>
        <w:rPr>
          <w:lang w:val="zh_TW" w:bidi="zh_TW"/>
        </w:rPr>
        <w:t>利未記26:41</w:t>
      </w:r>
    </w:p>
    <w:p>
      <w:pPr>
        <w:pStyle w:val="ListBullet"/>
        <w:spacing w:line="240" w:lineRule="auto"/>
        <w:ind w:left="720"/>
      </w:pPr>
      <w:r>
        <w:rPr>
          <w:lang w:val="zh_TW" w:bidi="zh_TW"/>
        </w:rPr>
      </w:r>
      <w:r>
        <w:rPr>
          <w:lang w:val="zh_TW" w:bidi="zh_TW"/>
        </w:rPr>
        <w:t>約書亞記5:3</w:t>
      </w:r>
    </w:p>
    <w:p>
      <w:pPr>
        <w:pStyle w:val="ListBullet"/>
        <w:spacing w:line="240" w:lineRule="auto"/>
        <w:ind w:left="720"/>
      </w:pPr>
      <w:r>
        <w:rPr>
          <w:lang w:val="zh_TW" w:bidi="zh_TW"/>
        </w:rPr>
      </w:r>
      <w:r>
        <w:rPr>
          <w:lang w:val="zh_TW" w:bidi="zh_TW"/>
        </w:rPr>
        <w:t>士師記15:18</w:t>
      </w:r>
    </w:p>
    <w:p>
      <w:pPr>
        <w:pStyle w:val="ListBullet"/>
        <w:spacing w:line="240" w:lineRule="auto"/>
        <w:ind w:left="720"/>
      </w:pPr>
      <w:r>
        <w:rPr>
          <w:lang w:val="zh_TW" w:bidi="zh_TW"/>
        </w:rPr>
      </w:r>
      <w:r>
        <w:rPr>
          <w:lang w:val="zh_TW" w:bidi="zh_TW"/>
        </w:rPr>
        <w:t>撒母耳記下1:20</w:t>
      </w:r>
    </w:p>
    <w:p>
      <w:pPr>
        <w:pStyle w:val="ListBullet"/>
        <w:spacing w:line="240" w:lineRule="auto"/>
        <w:ind w:left="720"/>
      </w:pPr>
      <w:r>
        <w:rPr>
          <w:lang w:val="zh_TW" w:bidi="zh_TW"/>
        </w:rPr>
      </w:r>
      <w:r>
        <w:rPr>
          <w:lang w:val="zh_TW" w:bidi="zh_TW"/>
        </w:rPr>
        <w:t>耶利米書9:26</w:t>
      </w:r>
    </w:p>
    <w:p>
      <w:pPr>
        <w:pStyle w:val="ListBullet"/>
        <w:spacing w:line="240" w:lineRule="auto"/>
        <w:ind w:left="720"/>
      </w:pPr>
      <w:r>
        <w:rPr>
          <w:lang w:val="zh_TW" w:bidi="zh_TW"/>
        </w:rPr>
      </w:r>
      <w:r>
        <w:rPr>
          <w:lang w:val="zh_TW" w:bidi="zh_TW"/>
        </w:rPr>
        <w:t>以西結書32:25</w:t>
      </w:r>
    </w:p>
    <w:p>
      <w:pPr>
        <w:pStyle w:val="ListBullet"/>
        <w:spacing w:line="240" w:lineRule="auto"/>
        <w:ind w:left="720"/>
      </w:pPr>
      <w:r>
        <w:rPr>
          <w:lang w:val="zh_TW" w:bidi="zh_TW"/>
        </w:rPr>
      </w:r>
      <w:r>
        <w:rPr>
          <w:lang w:val="zh_TW" w:bidi="zh_TW"/>
        </w:rPr>
        <w:t>使徒行傳10:44–45</w:t>
      </w:r>
    </w:p>
    <w:p>
      <w:pPr>
        <w:pStyle w:val="ListBullet"/>
        <w:spacing w:line="240" w:lineRule="auto"/>
        <w:ind w:left="720"/>
      </w:pPr>
      <w:r>
        <w:rPr>
          <w:lang w:val="zh_TW" w:bidi="zh_TW"/>
        </w:rPr>
      </w:r>
      <w:r>
        <w:rPr>
          <w:lang w:val="zh_TW" w:bidi="zh_TW"/>
        </w:rPr>
        <w:t>使徒行傳11:3</w:t>
      </w:r>
    </w:p>
    <w:p>
      <w:pPr>
        <w:pStyle w:val="ListBullet"/>
        <w:spacing w:line="240" w:lineRule="auto"/>
        <w:ind w:left="720"/>
      </w:pPr>
      <w:r>
        <w:rPr>
          <w:lang w:val="zh_TW" w:bidi="zh_TW"/>
        </w:rPr>
      </w:r>
      <w:r>
        <w:rPr>
          <w:lang w:val="zh_TW" w:bidi="zh_TW"/>
        </w:rPr>
        <w:t>使徒行傳15:1</w:t>
      </w:r>
    </w:p>
    <w:p>
      <w:pPr>
        <w:pStyle w:val="ListBullet"/>
        <w:spacing w:line="240" w:lineRule="auto"/>
        <w:ind w:left="720"/>
      </w:pPr>
      <w:r>
        <w:rPr>
          <w:lang w:val="zh_TW" w:bidi="zh_TW"/>
        </w:rPr>
      </w:r>
      <w:r>
        <w:rPr>
          <w:lang w:val="zh_TW" w:bidi="zh_TW"/>
        </w:rPr>
        <w:t>使徒行傳11:3</w:t>
      </w:r>
    </w:p>
    <w:p>
      <w:pPr>
        <w:pStyle w:val="ListBullet"/>
        <w:spacing w:line="240" w:lineRule="auto"/>
        <w:ind w:left="720"/>
      </w:pPr>
      <w:r>
        <w:rPr>
          <w:lang w:val="zh_TW" w:bidi="zh_TW"/>
        </w:rPr>
      </w:r>
      <w:r>
        <w:rPr>
          <w:lang w:val="zh_TW" w:bidi="zh_TW"/>
        </w:rPr>
        <w:t>羅馬書2:27</w:t>
      </w:r>
    </w:p>
    <w:p>
      <w:pPr>
        <w:pStyle w:val="ListBullet"/>
        <w:spacing w:line="240" w:lineRule="auto"/>
        <w:ind w:left="720"/>
      </w:pPr>
      <w:r>
        <w:rPr>
          <w:lang w:val="zh_TW" w:bidi="zh_TW"/>
        </w:rPr>
      </w:r>
      <w:r>
        <w:rPr>
          <w:lang w:val="zh_TW" w:bidi="zh_TW"/>
        </w:rPr>
        <w:t>加拉太書5:3</w:t>
      </w:r>
    </w:p>
    <w:p>
      <w:pPr>
        <w:pStyle w:val="ListBullet"/>
        <w:spacing w:line="240" w:lineRule="auto"/>
        <w:ind w:left="720"/>
      </w:pPr>
      <w:r>
        <w:rPr>
          <w:lang w:val="zh_TW" w:bidi="zh_TW"/>
        </w:rPr>
      </w:r>
      <w:r>
        <w:rPr>
          <w:lang w:val="zh_TW" w:bidi="zh_TW"/>
        </w:rPr>
        <w:t>以弗所書2:11</w:t>
      </w:r>
    </w:p>
    <w:p>
      <w:pPr>
        <w:pStyle w:val="ListBullet"/>
        <w:spacing w:line="240" w:lineRule="auto"/>
        <w:ind w:left="720"/>
      </w:pPr>
      <w:r>
        <w:rPr>
          <w:lang w:val="zh_TW" w:bidi="zh_TW"/>
        </w:rPr>
      </w:r>
      <w:r>
        <w:rPr>
          <w:lang w:val="zh_TW" w:bidi="zh_TW"/>
        </w:rPr>
        <w:t>腓立比書3:3</w:t>
      </w:r>
    </w:p>
    <w:p>
      <w:pPr>
        <w:pStyle w:val="ListBullet"/>
        <w:spacing w:line="240" w:lineRule="auto"/>
        <w:ind w:left="720"/>
      </w:pPr>
      <w:r>
        <w:rPr>
          <w:lang w:val="zh_TW" w:bidi="zh_TW"/>
        </w:rPr>
      </w:r>
      <w:r>
        <w:rPr>
          <w:lang w:val="zh_TW" w:bidi="zh_TW"/>
        </w:rPr>
        <w:t>歌羅西書2:11</w:t>
      </w:r>
    </w:p>
    <w:p>
      <w:pPr>
        <w:pStyle w:val="ListBullet"/>
        <w:spacing w:line="240" w:lineRule="auto"/>
        <w:ind w:left="720"/>
      </w:pPr>
      <w:r>
        <w:rPr>
          <w:lang w:val="zh_TW" w:bidi="zh_TW"/>
        </w:rPr>
      </w:r>
      <w:r>
        <w:rPr>
          <w:lang w:val="zh_TW" w:bidi="zh_TW"/>
        </w:rPr>
        <w:t>歌羅西書2:13</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5:3</w:t>
      </w:r>
      <w:r>
        <w:rPr>
          <w:lang w:val="zh_TW" w:bidi="zh_TW"/>
        </w:rPr>
        <w:t xml:space="preserve"> 「</w:t>
      </w:r>
      <w:r>
        <w:rPr>
          <w:lang w:val="zh_TW" w:bidi="zh_TW"/>
        </w:rPr>
        <w:t>你們家族所有的男子都要受</w:t>
      </w:r>
      <w:r>
        <w:rPr>
          <w:b/>
          <w:lang w:val="zh_TW" w:bidi="zh_TW"/>
        </w:rPr>
        <w:t>割禮。</w:t>
      </w:r>
      <w:r>
        <w:rPr>
          <w:lang w:val="zh_TW" w:bidi="zh_TW"/>
        </w:rPr>
        <w:t>」</w:t>
      </w:r>
    </w:p>
    <w:p>
      <w:pPr>
        <w:pStyle w:val="ListBullet"/>
        <w:spacing w:line="240" w:lineRule="auto"/>
        <w:ind w:left="720"/>
      </w:pPr>
      <w:r>
        <w:rPr>
          <w:lang w:val="zh_TW" w:bidi="zh_TW"/>
        </w:rPr>
      </w:r>
      <w:r>
        <w:rPr>
          <w:b/>
          <w:lang w:val="zh_TW" w:bidi="zh_TW"/>
        </w:rPr>
        <w:t>5:5</w:t>
      </w:r>
      <w:r>
        <w:rPr>
          <w:lang w:val="zh_TW" w:bidi="zh_TW"/>
        </w:rPr>
        <w:t xml:space="preserve"> </w:t>
      </w:r>
      <w:r>
        <w:rPr>
          <w:lang w:val="zh_TW" w:bidi="zh_TW"/>
        </w:rPr>
        <w:t>那一天，亞伯拉罕給他家裡所有的男子都行了</w:t>
      </w:r>
      <w:r>
        <w:rPr>
          <w:b/>
          <w:lang w:val="zh_TW" w:bidi="zh_TW"/>
        </w:rPr>
        <w:t>行割禮</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史特朗號：H4135，H4139，H5243，H6188，H6189，H6190，G02030，G05640，G19860，G40590，G40610</w:t>
      </w:r>
      <w:r>
        <w:rPr>
          <w:lang w:val="zh_TW" w:bidi="zh_TW"/>
        </w:rPr>
      </w:r>
      <w:r>
        <w:rPr>
          <w:lang w:val="zh_TW" w:bidi="zh_TW"/>
        </w:rPr>
      </w:r>
    </w:p>
    <w:p>
      <w:pPr/>
      <w:r>
        <w:rPr>
          <w:lang w:val="zh_TW" w:bidi="zh_TW"/>
        </w:rPr>
      </w:r>
    </w:p>
    <w:p>
      <w:pPr>
        <w:pStyle w:val="Heading2"/>
      </w:pPr>
      <w:r>
        <w:rPr>
          <w:lang w:val="zh_TW" w:bidi="zh_TW"/>
        </w:rPr>
        <w:t>歌利亞</w:t>
      </w:r>
      <w:r>
        <w:rPr>
          <w:lang w:val="zh_TW" w:bidi="zh_TW"/>
        </w:rPr>
      </w:r>
    </w:p>
    <w:p>
      <w:pPr>
        <w:pStyle w:val="Heading3"/>
      </w:pPr>
      <w:r>
        <w:rPr>
          <w:lang w:val="zh_TW" w:bidi="zh_TW"/>
        </w:rPr>
        <w:t>史實：</w:t>
      </w:r>
    </w:p>
    <w:p>
      <w:pPr/>
      <w:r>
        <w:rPr>
          <w:lang w:val="zh_TW" w:bidi="zh_TW"/>
        </w:rPr>
      </w:r>
      <w:r>
        <w:rPr>
          <w:lang w:val="zh_TW" w:bidi="zh_TW"/>
        </w:rPr>
        <w:t>歌利亞是非利士軍隊中一位身材高大且非常魁梧的士兵，最終被大衛所殺。</w:t>
      </w:r>
    </w:p>
    <w:p>
      <w:pPr>
        <w:pStyle w:val="ListBullet"/>
        <w:spacing w:line="240" w:lineRule="auto"/>
        <w:ind w:left="720"/>
      </w:pPr>
      <w:r>
        <w:rPr>
          <w:lang w:val="zh_TW" w:bidi="zh_TW"/>
        </w:rPr>
      </w:r>
      <w:r>
        <w:rPr>
          <w:lang w:val="zh_TW" w:bidi="zh_TW"/>
        </w:rPr>
        <w:t>歌利亞身高在兩到三公尺之間。由於他的巨大體型，他常被稱為巨人。</w:t>
      </w:r>
    </w:p>
    <w:p>
      <w:pPr>
        <w:pStyle w:val="ListBullet"/>
        <w:spacing w:line="240" w:lineRule="auto"/>
        <w:ind w:left="720"/>
      </w:pPr>
      <w:r>
        <w:rPr>
          <w:lang w:val="zh_TW" w:bidi="zh_TW"/>
        </w:rPr>
      </w:r>
      <w:r>
        <w:rPr>
          <w:lang w:val="zh_TW" w:bidi="zh_TW"/>
        </w:rPr>
        <w:t>雖然歌利亞擁有更好的武器並且身材比大衛大得多，但神賜予大衛力量和能力來擊敗歌利亞。</w:t>
      </w:r>
    </w:p>
    <w:p>
      <w:pPr>
        <w:pStyle w:val="ListBullet"/>
        <w:spacing w:line="240" w:lineRule="auto"/>
        <w:ind w:left="720"/>
      </w:pPr>
      <w:r>
        <w:rPr>
          <w:lang w:val="zh_TW" w:bidi="zh_TW"/>
        </w:rPr>
      </w:r>
      <w:r>
        <w:rPr>
          <w:lang w:val="zh_TW" w:bidi="zh_TW"/>
        </w:rPr>
        <w:t>由於大衛戰勝歌利亞，以色列人因此擊敗了非利士人，獲得勝利。</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大衛</w:t>
      </w:r>
      <w:r>
        <w:rPr>
          <w:lang w:val="zh_TW" w:bidi="zh_TW"/>
        </w:rPr>
        <w:t>，</w:t>
      </w:r>
      <w:r>
        <w:rPr>
          <w:lang w:val="zh_TW" w:bidi="zh_TW"/>
        </w:rPr>
        <w:t>非利士人</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歷代志上20:4–5</w:t>
      </w:r>
    </w:p>
    <w:p>
      <w:pPr>
        <w:pStyle w:val="ListBullet"/>
        <w:spacing w:line="240" w:lineRule="auto"/>
        <w:ind w:left="720"/>
      </w:pPr>
      <w:r>
        <w:rPr>
          <w:lang w:val="zh_TW" w:bidi="zh_TW"/>
        </w:rPr>
      </w:r>
      <w:r>
        <w:rPr>
          <w:lang w:val="zh_TW" w:bidi="zh_TW"/>
        </w:rPr>
        <w:t>撒母耳記上17:4–5</w:t>
      </w:r>
    </w:p>
    <w:p>
      <w:pPr>
        <w:pStyle w:val="ListBullet"/>
        <w:spacing w:line="240" w:lineRule="auto"/>
        <w:ind w:left="720"/>
      </w:pPr>
      <w:r>
        <w:rPr>
          <w:lang w:val="zh_TW" w:bidi="zh_TW"/>
        </w:rPr>
      </w:r>
      <w:r>
        <w:rPr>
          <w:lang w:val="zh_TW" w:bidi="zh_TW"/>
        </w:rPr>
        <w:t>撒母耳記上21:8–9</w:t>
      </w:r>
    </w:p>
    <w:p>
      <w:pPr>
        <w:pStyle w:val="ListBullet"/>
        <w:spacing w:line="240" w:lineRule="auto"/>
        <w:ind w:left="720"/>
      </w:pPr>
      <w:r>
        <w:rPr>
          <w:lang w:val="zh_TW" w:bidi="zh_TW"/>
        </w:rPr>
      </w:r>
      <w:r>
        <w:rPr>
          <w:lang w:val="zh_TW" w:bidi="zh_TW"/>
        </w:rPr>
        <w:t>撒母耳記上22:9–10</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史特朗號：H1555</w:t>
      </w:r>
      <w:r>
        <w:rPr>
          <w:lang w:val="zh_TW" w:bidi="zh_TW"/>
        </w:rPr>
      </w:r>
      <w:r>
        <w:rPr>
          <w:lang w:val="zh_TW" w:bidi="zh_TW"/>
        </w:rPr>
      </w:r>
    </w:p>
    <w:p>
      <w:pPr/>
      <w:r>
        <w:rPr>
          <w:lang w:val="zh_TW" w:bidi="zh_TW"/>
        </w:rPr>
      </w:r>
    </w:p>
    <w:p>
      <w:pPr>
        <w:pStyle w:val="Heading2"/>
      </w:pPr>
      <w:r>
        <w:rPr>
          <w:lang w:val="zh_TW" w:bidi="zh_TW"/>
        </w:rPr>
        <w:t>歌羅西</w:t>
      </w:r>
      <w:r>
        <w:rPr>
          <w:lang w:val="zh_TW" w:bidi="zh_TW"/>
        </w:rPr>
      </w:r>
    </w:p>
    <w:p>
      <w:pPr>
        <w:pStyle w:val="Heading3"/>
      </w:pPr>
      <w:r>
        <w:rPr>
          <w:lang w:val="zh_TW" w:bidi="zh_TW"/>
        </w:rPr>
        <w:t>史實：</w:t>
      </w:r>
    </w:p>
    <w:p>
      <w:pPr/>
      <w:r>
        <w:rPr>
          <w:lang w:val="zh_TW" w:bidi="zh_TW"/>
        </w:rPr>
      </w:r>
      <w:r>
        <w:rPr>
          <w:lang w:val="zh_TW" w:bidi="zh_TW"/>
        </w:rPr>
        <w:t>在新約時代，歌羅西是一座位於羅馬弗呂家省的城，這片土地現在是土耳其西南部。歌羅西人是指居住在歌羅西的人。</w:t>
      </w:r>
    </w:p>
    <w:p>
      <w:pPr>
        <w:pStyle w:val="ListBullet"/>
        <w:spacing w:line="240" w:lineRule="auto"/>
        <w:ind w:left="720"/>
      </w:pPr>
      <w:r>
        <w:rPr>
          <w:lang w:val="zh_TW" w:bidi="zh_TW"/>
        </w:rPr>
      </w:r>
      <w:r>
        <w:rPr>
          <w:lang w:val="zh_TW" w:bidi="zh_TW"/>
        </w:rPr>
        <w:t>歌羅西位於離地中海約100英里的內陸，位於以弗所城和幼發拉底河之間的一條重要貿易路線上。</w:t>
      </w:r>
    </w:p>
    <w:p>
      <w:pPr>
        <w:pStyle w:val="ListBullet"/>
        <w:spacing w:line="240" w:lineRule="auto"/>
        <w:ind w:left="720"/>
      </w:pPr>
      <w:r>
        <w:rPr>
          <w:lang w:val="zh_TW" w:bidi="zh_TW"/>
        </w:rPr>
      </w:r>
      <w:r>
        <w:rPr>
          <w:lang w:val="zh_TW" w:bidi="zh_TW"/>
        </w:rPr>
        <w:t>保羅在羅馬監獄中寫信給「歌羅西人」，糾正歌羅西信徒中間的錯誤教導。</w:t>
      </w:r>
    </w:p>
    <w:p>
      <w:pPr>
        <w:pStyle w:val="ListBullet"/>
        <w:spacing w:line="240" w:lineRule="auto"/>
        <w:ind w:left="720"/>
      </w:pPr>
      <w:r>
        <w:rPr>
          <w:lang w:val="zh_TW" w:bidi="zh_TW"/>
        </w:rPr>
      </w:r>
      <w:r>
        <w:rPr>
          <w:lang w:val="zh_TW" w:bidi="zh_TW"/>
        </w:rPr>
        <w:t>保羅寫這封信時，還沒有到訪過歌羅西的教會，但從他的同工以巴弗那裡聽說了歌羅西信徒的情況。</w:t>
      </w:r>
    </w:p>
    <w:p>
      <w:pPr>
        <w:pStyle w:val="ListBullet"/>
        <w:spacing w:line="240" w:lineRule="auto"/>
        <w:ind w:left="720"/>
      </w:pPr>
      <w:r>
        <w:rPr>
          <w:lang w:val="zh_TW" w:bidi="zh_TW"/>
        </w:rPr>
      </w:r>
      <w:r>
        <w:rPr>
          <w:lang w:val="zh_TW" w:bidi="zh_TW"/>
        </w:rPr>
        <w:t>以巴弗可能是建立歌羅西教會的基督徒工人。</w:t>
      </w:r>
    </w:p>
    <w:p>
      <w:pPr>
        <w:pStyle w:val="ListBullet"/>
        <w:spacing w:line="240" w:lineRule="auto"/>
        <w:ind w:left="720"/>
      </w:pPr>
      <w:r>
        <w:rPr>
          <w:lang w:val="zh_TW" w:bidi="zh_TW"/>
        </w:rPr>
      </w:r>
      <w:r>
        <w:rPr>
          <w:lang w:val="zh_TW" w:bidi="zh_TW"/>
        </w:rPr>
        <w:t>腓利門書是保羅寫給歌羅西一位奴隸的主人的信。</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以弗所</w:t>
      </w:r>
      <w:r>
        <w:rPr>
          <w:lang w:val="zh_TW" w:bidi="zh_TW"/>
        </w:rPr>
        <w:t>，</w:t>
      </w:r>
      <w:r>
        <w:rPr>
          <w:lang w:val="zh_TW" w:bidi="zh_TW"/>
        </w:rPr>
        <w:t>保羅</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歌羅西書1:3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史特朗號：G28570</w:t>
      </w:r>
      <w:r>
        <w:rPr>
          <w:lang w:val="zh_TW" w:bidi="zh_TW"/>
        </w:rPr>
      </w:r>
      <w:r>
        <w:rPr>
          <w:lang w:val="zh_TW" w:bidi="zh_TW"/>
        </w:rPr>
      </w:r>
    </w:p>
    <w:p>
      <w:pPr/>
      <w:r>
        <w:rPr>
          <w:lang w:val="zh_TW" w:bidi="zh_TW"/>
        </w:rPr>
      </w:r>
    </w:p>
    <w:p>
      <w:pPr>
        <w:pStyle w:val="Heading2"/>
      </w:pPr>
      <w:r>
        <w:rPr>
          <w:lang w:val="zh_TW" w:bidi="zh_TW"/>
        </w:rPr>
        <w:t>歌珊</w:t>
      </w:r>
      <w:r>
        <w:rPr>
          <w:lang w:val="zh_TW" w:bidi="zh_TW"/>
        </w:rPr>
      </w:r>
    </w:p>
    <w:p>
      <w:pPr>
        <w:pStyle w:val="Heading3"/>
      </w:pPr>
      <w:r>
        <w:rPr>
          <w:lang w:val="zh_TW" w:bidi="zh_TW"/>
        </w:rPr>
        <w:t>史實：</w:t>
      </w:r>
    </w:p>
    <w:p>
      <w:pPr/>
      <w:r>
        <w:rPr>
          <w:lang w:val="zh_TW" w:bidi="zh_TW"/>
        </w:rPr>
      </w:r>
      <w:r>
        <w:rPr>
          <w:lang w:val="zh_TW" w:bidi="zh_TW"/>
        </w:rPr>
        <w:t>歌珊是位於埃及北部尼羅河沿岸的一個肥沃地區的名稱。</w:t>
      </w:r>
    </w:p>
    <w:p>
      <w:pPr>
        <w:pStyle w:val="ListBullet"/>
        <w:spacing w:line="240" w:lineRule="auto"/>
        <w:ind w:left="720"/>
      </w:pPr>
      <w:r>
        <w:rPr>
          <w:lang w:val="zh_TW" w:bidi="zh_TW"/>
        </w:rPr>
      </w:r>
      <w:r>
        <w:rPr>
          <w:lang w:val="zh_TW" w:bidi="zh_TW"/>
        </w:rPr>
        <w:t>當約瑟在埃及擔任統治者時，他的父親和兄弟們以及他們的家人來到歌珊居住，以逃避迦南的饑荒。</w:t>
      </w:r>
    </w:p>
    <w:p>
      <w:pPr>
        <w:pStyle w:val="ListBullet"/>
        <w:spacing w:line="240" w:lineRule="auto"/>
        <w:ind w:left="720"/>
      </w:pPr>
      <w:r>
        <w:rPr>
          <w:lang w:val="zh_TW" w:bidi="zh_TW"/>
        </w:rPr>
      </w:r>
      <w:r>
        <w:rPr>
          <w:lang w:val="zh_TW" w:bidi="zh_TW"/>
        </w:rPr>
        <w:t>他們和他們的後代在歌珊地安居超過四百年，但後來被埃及法老強迫成為奴隸。</w:t>
      </w:r>
    </w:p>
    <w:p>
      <w:pPr>
        <w:pStyle w:val="ListBullet"/>
        <w:spacing w:line="240" w:lineRule="auto"/>
        <w:ind w:left="720"/>
      </w:pPr>
      <w:r>
        <w:rPr>
          <w:lang w:val="zh_TW" w:bidi="zh_TW"/>
        </w:rPr>
      </w:r>
      <w:r>
        <w:rPr>
          <w:lang w:val="zh_TW" w:bidi="zh_TW"/>
        </w:rPr>
        <w:t>最後，神派摩西去幫助以色列人離開歌珊地，逃脫這種奴役生活。</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埃及</w:t>
      </w:r>
      <w:r>
        <w:rPr>
          <w:lang w:val="zh_TW" w:bidi="zh_TW"/>
        </w:rPr>
        <w:t>，</w:t>
      </w:r>
      <w:r>
        <w:rPr>
          <w:lang w:val="zh_TW" w:bidi="zh_TW"/>
        </w:rPr>
        <w:t>饑荒</w:t>
      </w:r>
      <w:r>
        <w:rPr>
          <w:lang w:val="zh_TW" w:bidi="zh_TW"/>
        </w:rPr>
        <w:t>，</w:t>
      </w:r>
      <w:r>
        <w:rPr>
          <w:lang w:val="zh_TW" w:bidi="zh_TW"/>
        </w:rPr>
        <w:t>摩西</w:t>
      </w:r>
      <w:r>
        <w:rPr>
          <w:lang w:val="zh_TW" w:bidi="zh_TW"/>
        </w:rPr>
        <w:t>，</w:t>
      </w:r>
      <w:r>
        <w:rPr>
          <w:lang w:val="zh_TW" w:bidi="zh_TW"/>
        </w:rPr>
        <w:t>尼羅河</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出埃及記8:22–24</w:t>
      </w:r>
    </w:p>
    <w:p>
      <w:pPr>
        <w:pStyle w:val="ListBullet"/>
        <w:spacing w:line="240" w:lineRule="auto"/>
        <w:ind w:left="720"/>
      </w:pPr>
      <w:r>
        <w:rPr>
          <w:lang w:val="zh_TW" w:bidi="zh_TW"/>
        </w:rPr>
      </w:r>
      <w:r>
        <w:rPr>
          <w:lang w:val="zh_TW" w:bidi="zh_TW"/>
        </w:rPr>
        <w:t>創世記45:11</w:t>
      </w:r>
    </w:p>
    <w:p>
      <w:pPr>
        <w:pStyle w:val="ListBullet"/>
        <w:spacing w:line="240" w:lineRule="auto"/>
        <w:ind w:left="720"/>
      </w:pPr>
      <w:r>
        <w:rPr>
          <w:lang w:val="zh_TW" w:bidi="zh_TW"/>
        </w:rPr>
      </w:r>
      <w:r>
        <w:rPr>
          <w:lang w:val="zh_TW" w:bidi="zh_TW"/>
        </w:rPr>
        <w:t>創世記47:2</w:t>
      </w:r>
    </w:p>
    <w:p>
      <w:pPr>
        <w:pStyle w:val="ListBullet"/>
        <w:spacing w:line="240" w:lineRule="auto"/>
        <w:ind w:left="720"/>
      </w:pPr>
      <w:r>
        <w:rPr>
          <w:lang w:val="zh_TW" w:bidi="zh_TW"/>
        </w:rPr>
      </w:r>
      <w:r>
        <w:rPr>
          <w:lang w:val="zh_TW" w:bidi="zh_TW"/>
        </w:rPr>
        <w:t>創世</w:t>
      </w:r>
      <w:r>
        <w:rPr>
          <w:lang w:val="zh_TW" w:bidi="zh_TW"/>
        </w:rPr>
        <w:t>記</w:t>
      </w:r>
      <w:r>
        <w:rPr>
          <w:lang w:val="zh_TW" w:bidi="zh_TW"/>
        </w:rPr>
        <w:t>50:7–9</w:t>
      </w:r>
    </w:p>
    <w:p>
      <w:pPr>
        <w:pStyle w:val="ListBullet"/>
        <w:spacing w:line="240" w:lineRule="auto"/>
        <w:ind w:left="720"/>
      </w:pPr>
      <w:r>
        <w:rPr>
          <w:lang w:val="zh_TW" w:bidi="zh_TW"/>
        </w:rPr>
      </w:r>
      <w:r>
        <w:rPr>
          <w:lang w:val="zh_TW" w:bidi="zh_TW"/>
        </w:rPr>
        <w:t>約書亞記10:40–41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史特朗號：H1657</w:t>
      </w:r>
      <w:r>
        <w:rPr>
          <w:lang w:val="zh_TW" w:bidi="zh_TW"/>
        </w:rPr>
      </w:r>
      <w:r>
        <w:rPr>
          <w:lang w:val="zh_TW" w:bidi="zh_TW"/>
        </w:rPr>
      </w:r>
    </w:p>
    <w:p>
      <w:pPr/>
      <w:r>
        <w:rPr>
          <w:lang w:val="zh_TW" w:bidi="zh_TW"/>
        </w:rPr>
      </w:r>
    </w:p>
    <w:p>
      <w:pPr>
        <w:pStyle w:val="Heading2"/>
      </w:pPr>
      <w:r>
        <w:rPr>
          <w:lang w:val="zh_TW" w:bidi="zh_TW"/>
        </w:rPr>
        <w:t>鴿子</w:t>
      </w:r>
      <w:r>
        <w:rPr>
          <w:lang w:val="zh_TW" w:bidi="zh_TW"/>
        </w:rPr>
      </w:r>
    </w:p>
    <w:p>
      <w:pPr>
        <w:pStyle w:val="Heading3"/>
      </w:pPr>
      <w:r>
        <w:rPr>
          <w:lang w:val="zh_TW" w:bidi="zh_TW"/>
        </w:rPr>
        <w:t>定義：</w:t>
      </w:r>
    </w:p>
    <w:p>
      <w:pPr/>
      <w:r>
        <w:rPr>
          <w:lang w:val="zh_TW" w:bidi="zh_TW"/>
        </w:rPr>
      </w:r>
      <w:r>
        <w:rPr>
          <w:lang w:val="zh_TW" w:bidi="zh_TW"/>
        </w:rPr>
        <w:t>鴿子和雛鴿是兩種小型的灰褐色鳥類，看起來很相似。鴿子通常被認為顏色較淺，幾乎是白色的。</w:t>
      </w:r>
    </w:p>
    <w:p>
      <w:pPr>
        <w:pStyle w:val="ListBullet"/>
        <w:spacing w:line="240" w:lineRule="auto"/>
        <w:ind w:left="720"/>
      </w:pPr>
      <w:r>
        <w:rPr>
          <w:lang w:val="zh_TW" w:bidi="zh_TW"/>
        </w:rPr>
      </w:r>
      <w:r>
        <w:rPr>
          <w:lang w:val="zh_TW" w:bidi="zh_TW"/>
        </w:rPr>
        <w:t>有些語言有兩個不同的名稱，而其它語言則使用相同的名稱。</w:t>
      </w:r>
    </w:p>
    <w:p>
      <w:pPr>
        <w:pStyle w:val="ListBullet"/>
        <w:spacing w:line="240" w:lineRule="auto"/>
        <w:ind w:left="720"/>
      </w:pPr>
      <w:r>
        <w:rPr>
          <w:lang w:val="zh_TW" w:bidi="zh_TW"/>
        </w:rPr>
      </w:r>
      <w:r>
        <w:rPr>
          <w:lang w:val="zh_TW" w:bidi="zh_TW"/>
        </w:rPr>
        <w:t>鴿子和雛鴿被用於獻祭給神，特別是對於那些無法負擔購買較大動物的人。</w:t>
      </w:r>
    </w:p>
    <w:p>
      <w:pPr>
        <w:pStyle w:val="ListBullet"/>
        <w:spacing w:line="240" w:lineRule="auto"/>
        <w:ind w:left="720"/>
      </w:pPr>
      <w:r>
        <w:rPr>
          <w:lang w:val="zh_TW" w:bidi="zh_TW"/>
        </w:rPr>
      </w:r>
      <w:r>
        <w:rPr>
          <w:lang w:val="zh_TW" w:bidi="zh_TW"/>
        </w:rPr>
        <w:t>當洪水退去時，一隻鴿子給挪亞帶來了一片橄欖樹葉。</w:t>
      </w:r>
    </w:p>
    <w:p>
      <w:pPr>
        <w:pStyle w:val="ListBullet"/>
        <w:spacing w:line="240" w:lineRule="auto"/>
        <w:ind w:left="720"/>
      </w:pPr>
      <w:r>
        <w:rPr>
          <w:lang w:val="zh_TW" w:bidi="zh_TW"/>
        </w:rPr>
      </w:r>
      <w:r>
        <w:rPr>
          <w:lang w:val="zh_TW" w:bidi="zh_TW"/>
        </w:rPr>
        <w:t>鴿子有時象徵純潔、無辜或和平。</w:t>
      </w:r>
    </w:p>
    <w:p>
      <w:pPr>
        <w:pStyle w:val="ListBullet"/>
        <w:spacing w:line="240" w:lineRule="auto"/>
        <w:ind w:left="720"/>
      </w:pPr>
      <w:r>
        <w:rPr>
          <w:lang w:val="zh_TW" w:bidi="zh_TW"/>
        </w:rPr>
      </w:r>
      <w:r>
        <w:rPr>
          <w:lang w:val="zh_TW" w:bidi="zh_TW"/>
        </w:rPr>
        <w:t>如果在翻譯的語言區域中，當地沒有鴿子或雛鴿，這個詞可以翻譯為「一種叫做鴿子的灰褐色小鳥」或「一種類似於（當地鳥類名稱）的灰色或棕色小鳥」。</w:t>
      </w:r>
    </w:p>
    <w:p>
      <w:pPr>
        <w:pStyle w:val="ListBullet"/>
        <w:spacing w:line="240" w:lineRule="auto"/>
        <w:ind w:left="720"/>
      </w:pPr>
      <w:r>
        <w:rPr>
          <w:lang w:val="zh_TW" w:bidi="zh_TW"/>
        </w:rPr>
      </w:r>
      <w:r>
        <w:rPr>
          <w:lang w:val="zh_TW" w:bidi="zh_TW"/>
        </w:rPr>
        <w:t>如果在同一節經文中同時提到鴿子和雛鴿，如果可能的話，最好使用兩個不同的詞來指代這些鳥類。</w:t>
      </w:r>
    </w:p>
    <w:p>
      <w:pPr>
        <w:pStyle w:val="ListBullet"/>
        <w:spacing w:line="240" w:lineRule="auto"/>
        <w:ind w:left="720"/>
      </w:pPr>
      <w:r>
        <w:rPr>
          <w:lang w:val="zh_TW" w:bidi="zh_TW"/>
        </w:rPr>
      </w:r>
      <w:r>
        <w:rPr>
          <w:lang w:val="zh_TW" w:bidi="zh_TW"/>
        </w:rPr>
        <w:t>斑鳩是一種鴿子，在創世記十五章9節、雅歌二章12節，利未記十二章6節有所提及。</w:t>
      </w:r>
    </w:p>
    <w:p>
      <w:pPr/>
      <w:r>
        <w:rPr>
          <w:lang w:val="zh_TW" w:bidi="zh_TW"/>
        </w:rPr>
      </w:r>
      <w:r>
        <w:rPr>
          <w:lang w:val="zh_TW" w:bidi="zh_TW"/>
        </w:rPr>
        <w:t>（另見：如何翻譯未知內容）</w:t>
      </w:r>
    </w:p>
    <w:p>
      <w:pPr/>
      <w:r>
        <w:rPr>
          <w:lang w:val="zh_TW" w:bidi="zh_TW"/>
        </w:rPr>
      </w:r>
      <w:r>
        <w:rPr>
          <w:lang w:val="zh_TW" w:bidi="zh_TW"/>
        </w:rPr>
        <w:t>（另見：</w:t>
      </w:r>
      <w:r>
        <w:rPr>
          <w:lang w:val="zh_TW" w:bidi="zh_TW"/>
        </w:rPr>
        <w:t>橄欖</w:t>
      </w:r>
      <w:r>
        <w:rPr>
          <w:lang w:val="zh_TW" w:bidi="zh_TW"/>
        </w:rPr>
        <w:t>，</w:t>
      </w:r>
      <w:r>
        <w:rPr>
          <w:lang w:val="zh_TW" w:bidi="zh_TW"/>
        </w:rPr>
        <w:t>無辜</w:t>
      </w:r>
      <w:r>
        <w:rPr>
          <w:lang w:val="zh_TW" w:bidi="zh_TW"/>
        </w:rPr>
        <w:t>，純潔）</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創世記8:9</w:t>
      </w:r>
    </w:p>
    <w:p>
      <w:pPr>
        <w:pStyle w:val="ListBullet"/>
        <w:spacing w:line="240" w:lineRule="auto"/>
        <w:ind w:left="720"/>
      </w:pPr>
      <w:r>
        <w:rPr>
          <w:lang w:val="zh_TW" w:bidi="zh_TW"/>
        </w:rPr>
      </w:r>
      <w:r>
        <w:rPr>
          <w:lang w:val="zh_TW" w:bidi="zh_TW"/>
        </w:rPr>
        <w:t>路加福音2:22–24</w:t>
      </w:r>
    </w:p>
    <w:p>
      <w:pPr>
        <w:pStyle w:val="ListBullet"/>
        <w:spacing w:line="240" w:lineRule="auto"/>
        <w:ind w:left="720"/>
      </w:pPr>
      <w:r>
        <w:rPr>
          <w:lang w:val="zh_TW" w:bidi="zh_TW"/>
        </w:rPr>
      </w:r>
      <w:r>
        <w:rPr>
          <w:lang w:val="zh_TW" w:bidi="zh_TW"/>
        </w:rPr>
        <w:t>馬可福音1:10</w:t>
      </w:r>
    </w:p>
    <w:p>
      <w:pPr>
        <w:pStyle w:val="ListBullet"/>
        <w:spacing w:line="240" w:lineRule="auto"/>
        <w:ind w:left="720"/>
      </w:pPr>
      <w:r>
        <w:rPr>
          <w:lang w:val="zh_TW" w:bidi="zh_TW"/>
        </w:rPr>
      </w:r>
      <w:r>
        <w:rPr>
          <w:lang w:val="zh_TW" w:bidi="zh_TW"/>
        </w:rPr>
        <w:t>馬太福音3:16</w:t>
      </w:r>
    </w:p>
    <w:p>
      <w:pPr>
        <w:pStyle w:val="ListBullet"/>
        <w:spacing w:line="240" w:lineRule="auto"/>
        <w:ind w:left="720"/>
      </w:pPr>
      <w:r>
        <w:rPr>
          <w:lang w:val="zh_TW" w:bidi="zh_TW"/>
        </w:rPr>
      </w:r>
      <w:r>
        <w:rPr>
          <w:lang w:val="zh_TW" w:bidi="zh_TW"/>
        </w:rPr>
        <w:t>馬太福音21:12–14</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史特朗號：H1469，H1686，H3123，H8449，G40580</w:t>
      </w:r>
      <w:r>
        <w:rPr>
          <w:lang w:val="zh_TW" w:bidi="zh_TW"/>
        </w:rPr>
      </w:r>
      <w:r>
        <w:rPr>
          <w:lang w:val="zh_TW" w:bidi="zh_TW"/>
        </w:rPr>
      </w:r>
    </w:p>
    <w:p>
      <w:pPr/>
      <w:r>
        <w:rPr>
          <w:lang w:val="zh_TW" w:bidi="zh_TW"/>
        </w:rPr>
      </w:r>
    </w:p>
    <w:p>
      <w:pPr>
        <w:pStyle w:val="Heading2"/>
      </w:pPr>
      <w:r>
        <w:rPr>
          <w:lang w:val="zh_TW" w:bidi="zh_TW"/>
        </w:rPr>
        <w:t>革迦撒人</w:t>
      </w:r>
      <w:r>
        <w:rPr>
          <w:lang w:val="zh_TW" w:bidi="zh_TW"/>
        </w:rPr>
      </w:r>
    </w:p>
    <w:p>
      <w:pPr>
        <w:pStyle w:val="Heading3"/>
      </w:pPr>
      <w:r>
        <w:rPr>
          <w:lang w:val="zh_TW" w:bidi="zh_TW"/>
        </w:rPr>
        <w:t>史實：</w:t>
      </w:r>
    </w:p>
    <w:p>
      <w:pPr/>
      <w:r>
        <w:rPr>
          <w:lang w:val="zh_TW" w:bidi="zh_TW"/>
        </w:rPr>
      </w:r>
      <w:r>
        <w:rPr>
          <w:lang w:val="zh_TW" w:bidi="zh_TW"/>
        </w:rPr>
        <w:t>革迦撒人是住在迦南地加利利海附近的一個族群。</w:t>
      </w:r>
    </w:p>
    <w:p>
      <w:pPr>
        <w:pStyle w:val="ListBullet"/>
        <w:spacing w:line="240" w:lineRule="auto"/>
        <w:ind w:left="720"/>
      </w:pPr>
      <w:r>
        <w:rPr>
          <w:lang w:val="zh_TW" w:bidi="zh_TW"/>
        </w:rPr>
      </w:r>
      <w:r>
        <w:rPr>
          <w:lang w:val="zh_TW" w:bidi="zh_TW"/>
        </w:rPr>
        <w:t>他們是含的兒子迦南的後裔，因此也是被稱為「迦南人」的眾多民族之一。</w:t>
      </w:r>
    </w:p>
    <w:p>
      <w:pPr>
        <w:pStyle w:val="ListBullet"/>
        <w:spacing w:line="240" w:lineRule="auto"/>
        <w:ind w:left="720"/>
      </w:pPr>
      <w:r>
        <w:rPr>
          <w:lang w:val="zh_TW" w:bidi="zh_TW"/>
        </w:rPr>
      </w:r>
      <w:r>
        <w:rPr>
          <w:lang w:val="zh_TW" w:bidi="zh_TW"/>
        </w:rPr>
        <w:t>神應許以色列人，祂將幫助他們擊敗革迦撒人和其它迦南人。</w:t>
      </w:r>
    </w:p>
    <w:p>
      <w:pPr>
        <w:pStyle w:val="ListBullet"/>
        <w:spacing w:line="240" w:lineRule="auto"/>
        <w:ind w:left="720"/>
      </w:pPr>
      <w:r>
        <w:rPr>
          <w:lang w:val="zh_TW" w:bidi="zh_TW"/>
        </w:rPr>
      </w:r>
      <w:r>
        <w:rPr>
          <w:lang w:val="zh_TW" w:bidi="zh_TW"/>
        </w:rPr>
        <w:t>像所有迦南人一樣，革迦撒人拜假神，並在這種崇拜中做不道德的事情。</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迦南</w:t>
      </w:r>
      <w:r>
        <w:rPr>
          <w:lang w:val="zh_TW" w:bidi="zh_TW"/>
        </w:rPr>
        <w:t>，</w:t>
      </w:r>
      <w:r>
        <w:rPr>
          <w:lang w:val="zh_TW" w:bidi="zh_TW"/>
        </w:rPr>
        <w:t>含，</w:t>
      </w:r>
      <w:r>
        <w:rPr>
          <w:lang w:val="zh_TW" w:bidi="zh_TW"/>
        </w:rPr>
        <w:t>挪亞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歷代志上1:14</w:t>
      </w:r>
    </w:p>
    <w:p>
      <w:pPr>
        <w:pStyle w:val="ListBullet"/>
        <w:spacing w:line="240" w:lineRule="auto"/>
        <w:ind w:left="720"/>
      </w:pPr>
      <w:r>
        <w:rPr>
          <w:lang w:val="zh_TW" w:bidi="zh_TW"/>
        </w:rPr>
      </w:r>
      <w:r>
        <w:rPr>
          <w:lang w:val="zh_TW" w:bidi="zh_TW"/>
        </w:rPr>
        <w:t>申命記7:1</w:t>
      </w:r>
    </w:p>
    <w:p>
      <w:pPr>
        <w:pStyle w:val="ListBullet"/>
        <w:spacing w:line="240" w:lineRule="auto"/>
        <w:ind w:left="720"/>
      </w:pPr>
      <w:r>
        <w:rPr>
          <w:lang w:val="zh_TW" w:bidi="zh_TW"/>
        </w:rPr>
      </w:r>
      <w:r>
        <w:rPr>
          <w:lang w:val="zh_TW" w:bidi="zh_TW"/>
        </w:rPr>
        <w:t>創世記10:16</w:t>
      </w:r>
    </w:p>
    <w:p>
      <w:pPr>
        <w:pStyle w:val="ListBullet"/>
        <w:spacing w:line="240" w:lineRule="auto"/>
        <w:ind w:left="720"/>
      </w:pPr>
      <w:r>
        <w:rPr>
          <w:lang w:val="zh_TW" w:bidi="zh_TW"/>
        </w:rPr>
      </w:r>
      <w:r>
        <w:rPr>
          <w:lang w:val="zh_TW" w:bidi="zh_TW"/>
        </w:rPr>
        <w:t>約書亞記3:9–11</w:t>
      </w:r>
    </w:p>
    <w:p>
      <w:pPr>
        <w:pStyle w:val="ListBullet"/>
        <w:spacing w:line="240" w:lineRule="auto"/>
        <w:ind w:left="720"/>
      </w:pPr>
      <w:r>
        <w:rPr>
          <w:lang w:val="zh_TW" w:bidi="zh_TW"/>
        </w:rPr>
      </w:r>
      <w:r>
        <w:rPr>
          <w:lang w:val="zh_TW" w:bidi="zh_TW"/>
        </w:rPr>
        <w:t>約書亞記24:11–12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史特朗號：H1622</w:t>
      </w:r>
      <w:r>
        <w:rPr>
          <w:lang w:val="zh_TW" w:bidi="zh_TW"/>
        </w:rPr>
      </w:r>
      <w:r>
        <w:rPr>
          <w:lang w:val="zh_TW" w:bidi="zh_TW"/>
        </w:rPr>
      </w:r>
    </w:p>
    <w:p>
      <w:pPr/>
      <w:r>
        <w:rPr>
          <w:lang w:val="zh_TW" w:bidi="zh_TW"/>
        </w:rPr>
      </w:r>
    </w:p>
    <w:p>
      <w:pPr>
        <w:pStyle w:val="Heading2"/>
      </w:pPr>
      <w:r>
        <w:rPr>
          <w:lang w:val="zh_TW" w:bidi="zh_TW"/>
        </w:rPr>
        <w:t>各各他</w:t>
      </w:r>
      <w:r>
        <w:rPr>
          <w:lang w:val="zh_TW" w:bidi="zh_TW"/>
        </w:rPr>
      </w:r>
    </w:p>
    <w:p>
      <w:pPr>
        <w:pStyle w:val="Heading3"/>
      </w:pPr>
      <w:r>
        <w:rPr>
          <w:lang w:val="zh_TW" w:bidi="zh_TW"/>
        </w:rPr>
        <w:t>史實：</w:t>
      </w:r>
    </w:p>
    <w:p>
      <w:pPr/>
      <w:r>
        <w:rPr>
          <w:lang w:val="zh_TW" w:bidi="zh_TW"/>
        </w:rPr>
      </w:r>
      <w:r>
        <w:rPr>
          <w:lang w:val="zh_TW" w:bidi="zh_TW"/>
        </w:rPr>
        <w:t>「各各他」是耶穌被釘十字架的地方的名稱。這個名稱來自一個亞蘭文，意思是「髑髏」或「髑髏地」。</w:t>
      </w:r>
    </w:p>
    <w:p>
      <w:pPr>
        <w:pStyle w:val="ListBullet"/>
        <w:spacing w:line="240" w:lineRule="auto"/>
        <w:ind w:left="720"/>
      </w:pPr>
      <w:r>
        <w:rPr>
          <w:lang w:val="zh_TW" w:bidi="zh_TW"/>
        </w:rPr>
      </w:r>
      <w:r>
        <w:rPr>
          <w:lang w:val="zh_TW" w:bidi="zh_TW"/>
        </w:rPr>
        <w:t>各各他位於耶路撒冷城牆外的某個地方，可能位於橄欖山的斜坡上。</w:t>
      </w:r>
    </w:p>
    <w:p>
      <w:pPr>
        <w:pStyle w:val="ListBullet"/>
        <w:spacing w:line="240" w:lineRule="auto"/>
        <w:ind w:left="720"/>
      </w:pPr>
      <w:r>
        <w:rPr>
          <w:lang w:val="zh_TW" w:bidi="zh_TW"/>
        </w:rPr>
      </w:r>
      <w:r>
        <w:rPr>
          <w:lang w:val="zh_TW" w:bidi="zh_TW"/>
        </w:rPr>
        <w:t>在一些較早期的英文聖經譯本中，Golgotha（各各他）被翻譯為Calvary（加略山），這個詞來自拉丁文中的「髑髏」。</w:t>
      </w:r>
    </w:p>
    <w:p>
      <w:pPr>
        <w:pStyle w:val="ListBullet"/>
        <w:spacing w:line="240" w:lineRule="auto"/>
        <w:ind w:left="720"/>
      </w:pPr>
      <w:r>
        <w:rPr>
          <w:lang w:val="zh_TW" w:bidi="zh_TW"/>
        </w:rPr>
      </w:r>
      <w:r>
        <w:rPr>
          <w:lang w:val="zh_TW" w:bidi="zh_TW"/>
        </w:rPr>
        <w:t>許多聖經譯本使用一個看起來或聽起來類似「各各他」的詞，因為其意義已在聖經經文中解釋過。</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亞蘭</w:t>
      </w:r>
      <w:r>
        <w:rPr>
          <w:lang w:val="zh_TW" w:bidi="zh_TW"/>
        </w:rPr>
        <w:t>，</w:t>
      </w:r>
      <w:r>
        <w:rPr>
          <w:lang w:val="zh_TW" w:bidi="zh_TW"/>
        </w:rPr>
        <w:t>橄欖山</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約翰福音19:17</w:t>
      </w:r>
    </w:p>
    <w:p>
      <w:pPr>
        <w:pStyle w:val="ListBullet"/>
        <w:spacing w:line="240" w:lineRule="auto"/>
        <w:ind w:left="720"/>
      </w:pPr>
      <w:r>
        <w:rPr>
          <w:lang w:val="zh_TW" w:bidi="zh_TW"/>
        </w:rPr>
      </w:r>
      <w:r>
        <w:rPr>
          <w:lang w:val="zh_TW" w:bidi="zh_TW"/>
        </w:rPr>
        <w:t>馬可福音15:22</w:t>
      </w:r>
    </w:p>
    <w:p>
      <w:pPr>
        <w:pStyle w:val="ListBullet"/>
        <w:spacing w:line="240" w:lineRule="auto"/>
        <w:ind w:left="720"/>
      </w:pPr>
      <w:r>
        <w:rPr>
          <w:lang w:val="zh_TW" w:bidi="zh_TW"/>
        </w:rPr>
      </w:r>
      <w:r>
        <w:rPr>
          <w:lang w:val="zh_TW" w:bidi="zh_TW"/>
        </w:rPr>
        <w:t>馬太福音27:33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史特朗號：G11150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