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幔子</w:t>
      </w:r>
      <w:r>
        <w:rPr>
          <w:lang w:val="zh_TW" w:bidi="zh_TW"/>
        </w:rPr>
      </w:r>
    </w:p>
    <w:p>
      <w:pPr>
        <w:pStyle w:val="Heading3"/>
      </w:pPr>
      <w:r>
        <w:rPr>
          <w:lang w:val="zh_TW" w:bidi="zh_TW"/>
        </w:rPr>
        <w:t>定義：</w:t>
      </w:r>
    </w:p>
    <w:p>
      <w:pPr/>
      <w:r>
        <w:rPr>
          <w:lang w:val="zh_TW" w:bidi="zh_TW"/>
        </w:rPr>
      </w:r>
      <w:r>
        <w:rPr>
          <w:lang w:val="zh_TW" w:bidi="zh_TW"/>
        </w:rPr>
        <w:t>在聖經中，「幔子（curtain）」指的是用於製作會幕和聖殿的一種非常厚重的布料。</w:t>
      </w:r>
    </w:p>
    <w:p>
      <w:pPr>
        <w:pStyle w:val="ListBullet"/>
        <w:spacing w:line="240" w:lineRule="auto"/>
        <w:ind w:left="720"/>
      </w:pPr>
      <w:r>
        <w:rPr>
          <w:lang w:val="zh_TW" w:bidi="zh_TW"/>
        </w:rPr>
      </w:r>
      <w:r>
        <w:rPr>
          <w:lang w:val="zh_TW" w:bidi="zh_TW"/>
        </w:rPr>
        <w:t>會幕的建造使用了四層幔子來覆蓋頂部和側面。這些幔子覆蓋物是用布或動物皮製成的。</w:t>
      </w:r>
    </w:p>
    <w:p>
      <w:pPr>
        <w:pStyle w:val="ListBullet"/>
        <w:spacing w:line="240" w:lineRule="auto"/>
        <w:ind w:left="720"/>
      </w:pPr>
      <w:r>
        <w:rPr>
          <w:lang w:val="zh_TW" w:bidi="zh_TW"/>
        </w:rPr>
      </w:r>
      <w:r>
        <w:rPr>
          <w:lang w:val="zh_TW" w:bidi="zh_TW"/>
        </w:rPr>
        <w:t>布幔子也被用來形成圍繞會幕院子的牆壁。這些幔子是用「細麻布」製成的，這是一種由亞麻植物製成的布料。</w:t>
      </w:r>
    </w:p>
    <w:p>
      <w:pPr>
        <w:pStyle w:val="ListBullet"/>
        <w:spacing w:line="240" w:lineRule="auto"/>
        <w:ind w:left="720"/>
      </w:pPr>
      <w:r>
        <w:rPr>
          <w:lang w:val="zh_TW" w:bidi="zh_TW"/>
        </w:rPr>
      </w:r>
      <w:r>
        <w:rPr>
          <w:lang w:val="zh_TW" w:bidi="zh_TW"/>
        </w:rPr>
        <w:t>在會幕和聖殿建築中，一塊厚布幔子懸掛在聖所和至聖所之間。正是這塊幔子在耶穌死時奇蹟般地裂成兩半。</w:t>
      </w:r>
    </w:p>
    <w:p>
      <w:pPr>
        <w:pStyle w:val="Heading3"/>
      </w:pPr>
      <w:r>
        <w:rPr>
          <w:lang w:val="zh_TW" w:bidi="zh_TW"/>
        </w:rPr>
        <w:t>翻譯相關建議：</w:t>
      </w:r>
    </w:p>
    <w:p>
      <w:pPr>
        <w:pStyle w:val="ListBullet"/>
        <w:spacing w:line="240" w:lineRule="auto"/>
        <w:ind w:left="720"/>
      </w:pPr>
      <w:r>
        <w:rPr>
          <w:lang w:val="zh_TW" w:bidi="zh_TW"/>
        </w:rPr>
      </w:r>
      <w:r>
        <w:rPr>
          <w:lang w:val="zh_TW" w:bidi="zh_TW"/>
        </w:rPr>
        <w:t>由於現代的幔子與聖經中的幔子大不相同，因此可能需要使用不同的詞或加上一些描述幔子的詞語來使意思更加清晰。</w:t>
      </w:r>
    </w:p>
    <w:p>
      <w:pPr>
        <w:pStyle w:val="ListBullet"/>
        <w:spacing w:line="240" w:lineRule="auto"/>
        <w:ind w:left="720"/>
      </w:pPr>
      <w:r>
        <w:rPr>
          <w:lang w:val="zh_TW" w:bidi="zh_TW"/>
        </w:rPr>
      </w:r>
      <w:r>
        <w:rPr>
          <w:lang w:val="zh_TW" w:bidi="zh_TW"/>
        </w:rPr>
        <w:t>根據上下文，翻譯這個詞的方式可以包括「幔子覆蓋物」或「覆蓋物」或「厚布料的幔子」或「動物皮的覆蓋物」或「懸掛的布料」。</w:t>
      </w:r>
    </w:p>
    <w:p>
      <w:pPr/>
      <w:r>
        <w:rPr>
          <w:lang w:val="zh_TW" w:bidi="zh_TW"/>
        </w:rPr>
      </w:r>
      <w:r>
        <w:rPr>
          <w:lang w:val="zh_TW" w:bidi="zh_TW"/>
        </w:rPr>
        <w:t>（另見：</w:t>
      </w:r>
      <w:r>
        <w:rPr>
          <w:lang w:val="zh_TW" w:bidi="zh_TW"/>
        </w:rPr>
        <w:t>聖所</w:t>
      </w:r>
      <w:r>
        <w:rPr>
          <w:lang w:val="zh_TW" w:bidi="zh_TW"/>
        </w:rPr>
        <w:t>，</w:t>
      </w:r>
      <w:r>
        <w:rPr>
          <w:lang w:val="zh_TW" w:bidi="zh_TW"/>
        </w:rPr>
        <w:t>會幕</w:t>
      </w:r>
      <w:r>
        <w:rPr>
          <w:lang w:val="zh_TW" w:bidi="zh_TW"/>
        </w:rPr>
        <w:t>，</w:t>
      </w:r>
      <w:r>
        <w:rPr>
          <w:lang w:val="zh_TW" w:bidi="zh_TW"/>
        </w:rPr>
        <w:t>聖殿</w:t>
      </w:r>
      <w:r>
        <w:rPr>
          <w:lang w:val="zh_TW" w:bidi="zh_TW"/>
        </w:rPr>
        <w:t>）</w:t>
      </w:r>
    </w:p>
    <w:p>
      <w:pPr>
        <w:pStyle w:val="Heading3"/>
      </w:pPr>
      <w:r>
        <w:rPr>
          <w:lang w:val="zh_TW" w:bidi="zh_TW"/>
        </w:rPr>
        <w:t>參考經文：</w:t>
      </w:r>
    </w:p>
    <w:p>
      <w:pPr>
        <w:pStyle w:val="ListBullet"/>
        <w:spacing w:line="240" w:lineRule="auto"/>
        <w:ind w:left="720"/>
      </w:pPr>
      <w:r>
        <w:rPr>
          <w:lang w:val="zh_TW" w:bidi="zh_TW"/>
        </w:rPr>
      </w:r>
      <w:r>
        <w:rPr>
          <w:lang w:val="zh_TW" w:bidi="zh_TW"/>
        </w:rPr>
        <w:t>希伯來書10:20</w:t>
      </w:r>
    </w:p>
    <w:p>
      <w:pPr>
        <w:pStyle w:val="ListBullet"/>
        <w:spacing w:line="240" w:lineRule="auto"/>
        <w:ind w:left="720"/>
      </w:pPr>
      <w:r>
        <w:rPr>
          <w:lang w:val="zh_TW" w:bidi="zh_TW"/>
        </w:rPr>
      </w:r>
      <w:r>
        <w:rPr>
          <w:lang w:val="zh_TW" w:bidi="zh_TW"/>
        </w:rPr>
        <w:t>利未記4:17</w:t>
      </w:r>
    </w:p>
    <w:p>
      <w:pPr>
        <w:pStyle w:val="ListBullet"/>
        <w:spacing w:line="240" w:lineRule="auto"/>
        <w:ind w:left="720"/>
      </w:pPr>
      <w:r>
        <w:rPr>
          <w:lang w:val="zh_TW" w:bidi="zh_TW"/>
        </w:rPr>
      </w:r>
      <w:r>
        <w:rPr>
          <w:lang w:val="zh_TW" w:bidi="zh_TW"/>
        </w:rPr>
        <w:t>路加福音23:45</w:t>
      </w:r>
    </w:p>
    <w:p>
      <w:pPr>
        <w:pStyle w:val="ListBullet"/>
        <w:spacing w:line="240" w:lineRule="auto"/>
        <w:ind w:left="720"/>
      </w:pPr>
      <w:r>
        <w:rPr>
          <w:lang w:val="zh_TW" w:bidi="zh_TW"/>
        </w:rPr>
      </w:r>
      <w:r>
        <w:rPr>
          <w:lang w:val="zh_TW" w:bidi="zh_TW"/>
        </w:rPr>
        <w:t>馬太福音27:51</w:t>
      </w:r>
    </w:p>
    <w:p>
      <w:pPr>
        <w:pStyle w:val="ListBullet"/>
        <w:spacing w:line="240" w:lineRule="auto"/>
        <w:ind w:left="720"/>
      </w:pPr>
      <w:r>
        <w:rPr>
          <w:lang w:val="zh_TW" w:bidi="zh_TW"/>
        </w:rPr>
      </w:r>
      <w:r>
        <w:rPr>
          <w:lang w:val="zh_TW" w:bidi="zh_TW"/>
        </w:rPr>
        <w:t>民數記4:5</w:t>
      </w:r>
    </w:p>
    <w:p>
      <w:pPr>
        <w:pStyle w:val="Heading3"/>
      </w:pPr>
      <w:r>
        <w:rPr>
          <w:lang w:val="zh_TW" w:bidi="zh_TW"/>
        </w:rPr>
        <w:t>原文參照：</w:t>
      </w:r>
    </w:p>
    <w:p>
      <w:pPr>
        <w:pStyle w:val="ListBullet"/>
        <w:spacing w:line="240" w:lineRule="auto"/>
        <w:ind w:left="720"/>
      </w:pPr>
      <w:r>
        <w:rPr>
          <w:lang w:val="zh_TW" w:bidi="zh_TW"/>
        </w:rPr>
      </w:r>
      <w:r>
        <w:rPr>
          <w:lang w:val="zh_TW" w:bidi="zh_TW"/>
        </w:rPr>
        <w:t>史特朗號：H1852，H3407，H4539，H6532，H7050，G26650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