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ઐ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ઐચ્છિકાર્પણ, ઐચ્છિકાર્પણો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ઐચ્છિકાર્પણ એ દેવને આપવામાં આવતું એક પ્રકારનું બલિદાન હતું કે જેને મૂસાના નિયમ દ્વારા કરવું જરૂરી નહોતું.</w:t>
        <w:br/>
      </w:r>
      <w:r>
        <w:rPr>
          <w:lang w:val="gu_IN" w:bidi="gu_IN"/>
        </w:rPr>
        <w:t>આ અર્પણ આપવું તે વ્યક્તિની પોતાની પસંદગીની બાબત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જો ઐચ્છિકાર્પણમાં એક પશુનું બલિદાન આપવાનું હતું, આ અર્પણ સ્વૈચ્છિક હતું તેથી થોડી ખામી વાળા પશુની પરવાનગી આપવામાં આવતી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ઈઝરાએલીઓ મિજબાનીના ઉજવણીના ભાગ તરીકે બલિદાન આપેલું પ્રાણી ખાતા.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જયારે ઐચ્છિકાર્પણ આપવામાં આવતું, ત્યારે તે ઈઝરાએલ માટે આનંદનું કારણ હતું જે બતાવે છે કે ફસલ સારી રહી છે જેથી લોકો પાસે ખોરાક પુષ્કળ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એઝરાનું પુસ્તક અલગ અલગ પ્રકારના ઐચ્છિકાર્પણ વર્ણવે છે કે જે મંદિરને ફરીથી બાંધવા માટે લાવવામાં આવ્યા હતા.</w:t>
        <w:br/>
      </w:r>
      <w:r>
        <w:rPr>
          <w:lang w:val="gu_IN" w:bidi="gu_IN"/>
        </w:rPr>
        <w:t>આ અર્પણમાં સોના અને ચાંદીના પૈસા, તેમજ વાટકીઓ અને સોના અને ચાંદીમાંથી બનાવેલી અન્ય વસ્તુઓનો સમાવેશ થાય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દહનાર્પણ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એઝરા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મિજબાની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ખાદ્યાર્પણ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દોષાર્થાર્પણ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કાયદો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પાપાર્થાર્પણ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3">
        <w:r>
          <w:rPr>
            <w:lang w:val="gu_IN" w:bidi="gu_IN"/>
          </w:rPr>
          <w:rPr>
            <w:color w:val="0000EE"/>
            <w:u w:val="single"/>
          </w:rPr>
          <w:t>1 કાળવૃતાંત 29:6–7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4">
        <w:r>
          <w:rPr>
            <w:lang w:val="gu_IN" w:bidi="gu_IN"/>
          </w:rPr>
          <w:rPr>
            <w:color w:val="0000EE"/>
            <w:u w:val="single"/>
          </w:rPr>
          <w:t>2 કાળવૃતાંત 35:7–9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5">
        <w:r>
          <w:rPr>
            <w:lang w:val="gu_IN" w:bidi="gu_IN"/>
          </w:rPr>
          <w:rPr>
            <w:color w:val="0000EE"/>
            <w:u w:val="single"/>
          </w:rPr>
          <w:t>પુનર્નિયમ 12:17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6">
        <w:r>
          <w:rPr>
            <w:lang w:val="gu_IN" w:bidi="gu_IN"/>
          </w:rPr>
          <w:rPr>
            <w:color w:val="0000EE"/>
            <w:u w:val="single"/>
          </w:rPr>
          <w:t>નિર્ગમન 36:2–4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7">
        <w:r>
          <w:rPr>
            <w:lang w:val="gu_IN" w:bidi="gu_IN"/>
          </w:rPr>
          <w:rPr>
            <w:color w:val="0000EE"/>
            <w:u w:val="single"/>
          </w:rPr>
          <w:t>લેવીય 7:15–16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H5068, H5071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6-1Chr29:7" TargetMode="External"/><Relationship Id="rId14" Type="http://schemas.openxmlformats.org/officeDocument/2006/relationships/hyperlink" Target="https://ref.ly/2Chr35:7-2Chr35:9" TargetMode="External"/><Relationship Id="rId15" Type="http://schemas.openxmlformats.org/officeDocument/2006/relationships/hyperlink" Target="https://ref.ly/Deut12:17" TargetMode="External"/><Relationship Id="rId16" Type="http://schemas.openxmlformats.org/officeDocument/2006/relationships/hyperlink" Target="https://ref.ly/Exod36:2-Exod36:4" TargetMode="External"/><Relationship Id="rId17" Type="http://schemas.openxmlformats.org/officeDocument/2006/relationships/hyperlink" Target="https://ref.ly/Lev7:15-Lev7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