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lang w:val="ar_AE" w:bidi="ar_AE"/>
        </w:rPr>
      </w:r>
      <w:r>
        <w:rPr>
          <w:lang w:val="ar_AE" w:bidi="ar_AE"/>
        </w:rPr>
        <w:t>عملية "التطهير" هي جعل شيء ما "طاهراً". يمكن أيضًا ترجمتها إلى "يغسل" أو "يطهر".</w:t>
      </w:r>
    </w:p>
    <w:p>
      <w:pPr>
        <w:pStyle w:val="ListBullet"/>
        <w:bidi/>
        <w:spacing w:line="240" w:lineRule="auto"/>
        <w:ind w:left="720"/>
      </w:pPr>
      <w:r>
        <w:rPr>
          <w:lang w:val="ar_AE" w:bidi="ar_AE"/>
        </w:rPr>
      </w:r>
      <w:r>
        <w:rPr>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lang w:val="ar_AE" w:bidi="ar_AE"/>
        </w:rPr>
      </w:r>
      <w:r>
        <w:rPr>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lang w:val="ar_AE" w:bidi="ar_AE"/>
        </w:rPr>
      </w:r>
      <w:r>
        <w:rPr>
          <w:lang w:val="ar_AE" w:bidi="ar_AE"/>
        </w:rPr>
        <w:t>أحيانًا يُستخدم مصطلح "طاهر" بشكل مجازي للإشارة إلى النقاء الأخلاقي، مما يعني أن يكون "طاهرًا" من الخطية.</w:t>
      </w:r>
    </w:p>
    <w:p>
      <w:pPr>
        <w:bidi/>
      </w:pPr>
      <w:r>
        <w:rPr>
          <w:lang w:val="ar_AE" w:bidi="ar_AE"/>
        </w:rPr>
      </w:r>
      <w:r>
        <w:rPr>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lang w:val="ar_AE" w:bidi="ar_AE"/>
        </w:rPr>
      </w:r>
      <w:r>
        <w:rPr>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lang w:val="ar_AE" w:bidi="ar_AE"/>
        </w:rPr>
      </w:r>
      <w:r>
        <w:rPr>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lang w:val="ar_AE" w:bidi="ar_AE"/>
        </w:rPr>
      </w:r>
      <w:r>
        <w:rPr>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lang w:val="ar_AE" w:bidi="ar_AE"/>
        </w:rPr>
      </w:r>
      <w:r>
        <w:rPr>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lang w:val="ar_AE" w:bidi="ar_AE"/>
        </w:rPr>
      </w:r>
      <w:r>
        <w:rPr>
          <w:lang w:val="ar_AE" w:bidi="ar_AE"/>
        </w:rPr>
        <w:t>كانت هذه النجاسة الجسدية والطقسية أيضًا رمزًا للنجاسة الأخلاقية.</w:t>
      </w:r>
    </w:p>
    <w:p>
      <w:pPr>
        <w:pStyle w:val="ListBullet"/>
        <w:bidi/>
        <w:spacing w:line="240" w:lineRule="auto"/>
        <w:ind w:left="720"/>
      </w:pPr>
      <w:r>
        <w:rPr>
          <w:lang w:val="ar_AE" w:bidi="ar_AE"/>
        </w:rPr>
      </w:r>
      <w:r>
        <w:rPr>
          <w:lang w:val="ar_AE" w:bidi="ar_AE"/>
        </w:rPr>
        <w:t>في معنى مجازي آخر، يشير "الروح النجس" إلى روح شريرة.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الشائعة لـ "طاهر" أو "نقي" (بمعنى عدم الاتساخ).</w:t>
      </w:r>
    </w:p>
    <w:p>
      <w:pPr>
        <w:pStyle w:val="ListBullet"/>
        <w:bidi/>
        <w:spacing w:line="240" w:lineRule="auto"/>
        <w:ind w:left="720"/>
      </w:pPr>
      <w:r>
        <w:rPr>
          <w:lang w:val="ar_AE" w:bidi="ar_AE"/>
        </w:rPr>
      </w:r>
      <w:r>
        <w:rPr>
          <w:lang w:val="ar_AE" w:bidi="ar_AE"/>
        </w:rPr>
        <w:t>طرق أخرى لترجمة هذا يمكن أن تشمل، "نظيف طقسيًا" أو "مقبول لدى الله".</w:t>
      </w:r>
    </w:p>
    <w:p>
      <w:pPr>
        <w:pStyle w:val="ListBullet"/>
        <w:bidi/>
        <w:spacing w:line="240" w:lineRule="auto"/>
        <w:ind w:left="720"/>
      </w:pPr>
      <w:r>
        <w:rPr>
          <w:lang w:val="ar_AE" w:bidi="ar_AE"/>
        </w:rPr>
      </w:r>
      <w:r>
        <w:rPr>
          <w:lang w:val="ar_AE" w:bidi="ar_AE"/>
        </w:rPr>
        <w:t>يمكن ترجمة "التطهير" بـ "يغسل" أو "يُطهر/ يُنقي".</w:t>
      </w:r>
    </w:p>
    <w:p>
      <w:pPr>
        <w:pStyle w:val="ListBullet"/>
        <w:bidi/>
        <w:spacing w:line="240" w:lineRule="auto"/>
        <w:ind w:left="720"/>
      </w:pPr>
      <w:r>
        <w:rPr>
          <w:lang w:val="ar_AE" w:bidi="ar_AE"/>
        </w:rPr>
      </w:r>
      <w:r>
        <w:rPr>
          <w:lang w:val="ar_AE" w:bidi="ar_AE"/>
        </w:rPr>
        <w:t>تأكد من أن الكلمات المستخدمة لـ "طاهر" و"التطهير" يمكن فهمها أيضًا بمعنى مجازي.</w:t>
      </w:r>
    </w:p>
    <w:p>
      <w:pPr>
        <w:pStyle w:val="ListBullet"/>
        <w:bidi/>
        <w:spacing w:line="240" w:lineRule="auto"/>
        <w:ind w:left="720"/>
      </w:pPr>
      <w:r>
        <w:rPr>
          <w:lang w:val="ar_AE" w:bidi="ar_AE"/>
        </w:rPr>
      </w:r>
      <w:r>
        <w:rPr>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lang w:val="ar_AE" w:bidi="ar_AE"/>
        </w:rPr>
      </w:r>
      <w:r>
        <w:rPr>
          <w:lang w:val="ar_AE" w:bidi="ar_AE"/>
        </w:rPr>
        <w:t>عند الإشارة إلى شيطان كروح نجس، يمكن ترجمته بـ "شرير" أو "دنس".</w:t>
      </w:r>
    </w:p>
    <w:p>
      <w:pPr>
        <w:pStyle w:val="ListBullet"/>
        <w:bidi/>
        <w:spacing w:line="240" w:lineRule="auto"/>
        <w:ind w:left="720"/>
      </w:pPr>
      <w:r>
        <w:rPr>
          <w:lang w:val="ar_AE" w:bidi="ar_AE"/>
        </w:rPr>
      </w:r>
      <w:r>
        <w:rPr>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شيطان</w:t>
      </w:r>
      <w:r>
        <w:rPr>
          <w:lang w:val="ar_AE" w:bidi="ar_AE"/>
        </w:rPr>
        <w:t xml:space="preserve">, </w:t>
      </w:r>
      <w:r>
        <w:rPr>
          <w:lang w:val="ar_AE" w:bidi="ar_AE"/>
        </w:rPr>
        <w:t>مقدس</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تكوين 7: 2</w:t>
        </w:r>
      </w:hyperlink>
    </w:p>
    <w:p>
      <w:pPr>
        <w:pStyle w:val="ListBullet"/>
        <w:bidi/>
        <w:spacing w:line="240" w:lineRule="auto"/>
        <w:ind w:left="720"/>
      </w:pPr>
      <w:r>
        <w:rPr>
          <w:lang w:val="ar_AE" w:bidi="ar_AE"/>
        </w:rPr>
      </w:r>
      <w:hyperlink r:id="rId14">
        <w:r>
          <w:rPr>
            <w:lang w:val="ar_AE" w:bidi="ar_AE"/>
          </w:rPr>
          <w:rPr>
            <w:color w:val="0000EE"/>
            <w:u w:val="single"/>
          </w:rPr>
          <w:t>تكوين 7: 8</w:t>
        </w:r>
      </w:hyperlink>
    </w:p>
    <w:p>
      <w:pPr>
        <w:pStyle w:val="ListBullet"/>
        <w:bidi/>
        <w:spacing w:line="240" w:lineRule="auto"/>
        <w:ind w:left="720"/>
      </w:pPr>
      <w:r>
        <w:rPr>
          <w:lang w:val="ar_AE" w:bidi="ar_AE"/>
        </w:rPr>
      </w:r>
      <w:hyperlink r:id="rId15">
        <w:r>
          <w:rPr>
            <w:lang w:val="ar_AE" w:bidi="ar_AE"/>
          </w:rPr>
          <w:rPr>
            <w:color w:val="0000EE"/>
            <w:u w:val="single"/>
          </w:rPr>
          <w:t>تثنية 12: 15</w:t>
        </w:r>
      </w:hyperlink>
    </w:p>
    <w:p>
      <w:pPr>
        <w:pStyle w:val="ListBullet"/>
        <w:bidi/>
        <w:spacing w:line="240" w:lineRule="auto"/>
        <w:ind w:left="720"/>
      </w:pPr>
      <w:r>
        <w:rPr>
          <w:lang w:val="ar_AE" w:bidi="ar_AE"/>
        </w:rPr>
      </w:r>
      <w:hyperlink r:id="rId16">
        <w:r>
          <w:rPr>
            <w:lang w:val="ar_AE" w:bidi="ar_AE"/>
          </w:rPr>
          <w:rPr>
            <w:color w:val="0000EE"/>
            <w:u w:val="single"/>
          </w:rPr>
          <w:t>مزامير 51: 7</w:t>
        </w:r>
      </w:hyperlink>
    </w:p>
    <w:p>
      <w:pPr>
        <w:pStyle w:val="ListBullet"/>
        <w:bidi/>
        <w:spacing w:line="240" w:lineRule="auto"/>
        <w:ind w:left="720"/>
      </w:pPr>
      <w:r>
        <w:rPr>
          <w:lang w:val="ar_AE" w:bidi="ar_AE"/>
        </w:rPr>
      </w:r>
      <w:hyperlink r:id="rId17">
        <w:r>
          <w:rPr>
            <w:lang w:val="ar_AE" w:bidi="ar_AE"/>
          </w:rPr>
          <w:rPr>
            <w:color w:val="0000EE"/>
            <w:u w:val="single"/>
          </w:rPr>
          <w:t>أمثال 20: 30</w:t>
        </w:r>
      </w:hyperlink>
    </w:p>
    <w:p>
      <w:pPr>
        <w:pStyle w:val="ListBullet"/>
        <w:bidi/>
        <w:spacing w:line="240" w:lineRule="auto"/>
        <w:ind w:left="720"/>
      </w:pPr>
      <w:r>
        <w:rPr>
          <w:lang w:val="ar_AE" w:bidi="ar_AE"/>
        </w:rPr>
      </w:r>
      <w:hyperlink r:id="rId18">
        <w:r>
          <w:rPr>
            <w:lang w:val="ar_AE" w:bidi="ar_AE"/>
          </w:rPr>
          <w:rPr>
            <w:color w:val="0000EE"/>
            <w:u w:val="single"/>
          </w:rPr>
          <w:t>حزقيال 24: 13</w:t>
        </w:r>
      </w:hyperlink>
    </w:p>
    <w:p>
      <w:pPr>
        <w:pStyle w:val="ListBullet"/>
        <w:bidi/>
        <w:spacing w:line="240" w:lineRule="auto"/>
        <w:ind w:left="720"/>
      </w:pPr>
      <w:r>
        <w:rPr>
          <w:lang w:val="ar_AE" w:bidi="ar_AE"/>
        </w:rPr>
      </w:r>
      <w:hyperlink r:id="rId19">
        <w:r>
          <w:rPr>
            <w:lang w:val="ar_AE" w:bidi="ar_AE"/>
          </w:rPr>
          <w:rPr>
            <w:color w:val="0000EE"/>
            <w:u w:val="single"/>
          </w:rPr>
          <w:t>متى 23: 27</w:t>
        </w:r>
      </w:hyperlink>
    </w:p>
    <w:p>
      <w:pPr>
        <w:pStyle w:val="ListBullet"/>
        <w:bidi/>
        <w:spacing w:line="240" w:lineRule="auto"/>
        <w:ind w:left="720"/>
      </w:pPr>
      <w:r>
        <w:rPr>
          <w:lang w:val="ar_AE" w:bidi="ar_AE"/>
        </w:rPr>
      </w:r>
      <w:hyperlink r:id="rId20">
        <w:r>
          <w:rPr>
            <w:lang w:val="ar_AE" w:bidi="ar_AE"/>
          </w:rPr>
          <w:rPr>
            <w:color w:val="0000EE"/>
            <w:u w:val="single"/>
          </w:rPr>
          <w:t>لوقا 5: 13</w:t>
        </w:r>
      </w:hyperlink>
    </w:p>
    <w:p>
      <w:pPr>
        <w:pStyle w:val="ListBullet"/>
        <w:bidi/>
        <w:spacing w:line="240" w:lineRule="auto"/>
        <w:ind w:left="720"/>
      </w:pPr>
      <w:r>
        <w:rPr>
          <w:lang w:val="ar_AE" w:bidi="ar_AE"/>
        </w:rPr>
      </w:r>
      <w:hyperlink r:id="rId21">
        <w:r>
          <w:rPr>
            <w:lang w:val="ar_AE" w:bidi="ar_AE"/>
          </w:rPr>
          <w:rPr>
            <w:color w:val="0000EE"/>
            <w:u w:val="single"/>
          </w:rPr>
          <w:t>أعمال 8: 7</w:t>
        </w:r>
      </w:hyperlink>
    </w:p>
    <w:p>
      <w:pPr>
        <w:pStyle w:val="ListBullet"/>
        <w:bidi/>
        <w:spacing w:line="240" w:lineRule="auto"/>
        <w:ind w:left="720"/>
      </w:pPr>
      <w:r>
        <w:rPr>
          <w:lang w:val="ar_AE" w:bidi="ar_AE"/>
        </w:rPr>
      </w:r>
      <w:hyperlink r:id="rId22">
        <w:r>
          <w:rPr>
            <w:lang w:val="ar_AE" w:bidi="ar_AE"/>
          </w:rPr>
          <w:rPr>
            <w:color w:val="0000EE"/>
            <w:u w:val="single"/>
          </w:rPr>
          <w:t>أعمال 10: 27–29</w:t>
        </w:r>
      </w:hyperlink>
    </w:p>
    <w:p>
      <w:pPr>
        <w:pStyle w:val="ListBullet"/>
        <w:bidi/>
        <w:spacing w:line="240" w:lineRule="auto"/>
        <w:ind w:left="720"/>
      </w:pPr>
      <w:r>
        <w:rPr>
          <w:lang w:val="ar_AE" w:bidi="ar_AE"/>
        </w:rPr>
      </w:r>
      <w:hyperlink r:id="rId23">
        <w:r>
          <w:rPr>
            <w:lang w:val="ar_AE" w:bidi="ar_AE"/>
          </w:rPr>
          <w:rPr>
            <w:color w:val="0000EE"/>
            <w:u w:val="single"/>
          </w:rPr>
          <w:t>كولوسي 3: 5</w:t>
        </w:r>
      </w:hyperlink>
    </w:p>
    <w:p>
      <w:pPr>
        <w:pStyle w:val="ListBullet"/>
        <w:bidi/>
        <w:spacing w:line="240" w:lineRule="auto"/>
        <w:ind w:left="720"/>
      </w:pPr>
      <w:r>
        <w:rPr>
          <w:lang w:val="ar_AE" w:bidi="ar_AE"/>
        </w:rPr>
      </w:r>
      <w:hyperlink r:id="rId24">
        <w:r>
          <w:rPr>
            <w:lang w:val="ar_AE" w:bidi="ar_AE"/>
          </w:rPr>
          <w:rPr>
            <w:color w:val="0000EE"/>
            <w:u w:val="single"/>
          </w:rPr>
          <w:t>1 تسالونيكي 4: 7</w:t>
        </w:r>
      </w:hyperlink>
    </w:p>
    <w:p>
      <w:pPr>
        <w:pStyle w:val="ListBullet"/>
        <w:bidi/>
        <w:spacing w:line="240" w:lineRule="auto"/>
        <w:ind w:left="720"/>
      </w:pPr>
      <w:r>
        <w:rPr>
          <w:lang w:val="ar_AE" w:bidi="ar_AE"/>
        </w:rPr>
      </w:r>
      <w:hyperlink r:id="rId25">
        <w:r>
          <w:rPr>
            <w:lang w:val="ar_AE" w:bidi="ar_AE"/>
          </w:rPr>
          <w:rPr>
            <w:color w:val="0000EE"/>
            <w:u w:val="single"/>
          </w:rPr>
          <w:t>يعقوب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pStyle w:val="Heading3"/>
        <w:bidi/>
      </w:pPr>
      <w:r>
        <w:rPr>
          <w:lang w:val="ar_AE" w:bidi="ar_AE"/>
        </w:rPr>
        <w:t>حقائق:</w:t>
      </w:r>
    </w:p>
    <w:p>
      <w:pPr>
        <w:bidi/>
      </w:pPr>
      <w:r>
        <w:rPr>
          <w:lang w:val="ar_AE" w:bidi="ar_AE"/>
        </w:rPr>
      </w:r>
      <w:r>
        <w:rPr>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lang w:val="ar_AE" w:bidi="ar_AE"/>
        </w:rPr>
      </w:r>
      <w:r>
        <w:rPr>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lang w:val="ar_AE" w:bidi="ar_AE"/>
        </w:rPr>
      </w:r>
      <w:r>
        <w:rPr>
          <w:lang w:val="ar_AE" w:bidi="ar_AE"/>
        </w:rPr>
        <w:t>في وقت من الأوقات كانت عاصمة كيليكيا.</w:t>
      </w:r>
    </w:p>
    <w:p>
      <w:pPr>
        <w:pStyle w:val="ListBullet"/>
        <w:bidi/>
        <w:spacing w:line="240" w:lineRule="auto"/>
        <w:ind w:left="720"/>
      </w:pPr>
      <w:r>
        <w:rPr>
          <w:lang w:val="ar_AE" w:bidi="ar_AE"/>
        </w:rPr>
      </w:r>
      <w:r>
        <w:rPr>
          <w:lang w:val="ar_AE" w:bidi="ar_AE"/>
        </w:rPr>
        <w:t>في العهد الجديد، اشتهرت طَرسوس بأنها مسقط رأس بولس الرسول.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كيليكيا</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أعمال الرسل 9: 11</w:t>
        </w:r>
      </w:hyperlink>
    </w:p>
    <w:p>
      <w:pPr>
        <w:pStyle w:val="ListBullet"/>
        <w:bidi/>
        <w:spacing w:line="240" w:lineRule="auto"/>
        <w:ind w:left="720"/>
      </w:pPr>
      <w:r>
        <w:rPr>
          <w:lang w:val="ar_AE" w:bidi="ar_AE"/>
        </w:rPr>
      </w:r>
      <w:hyperlink r:id="rId27">
        <w:r>
          <w:rPr>
            <w:lang w:val="ar_AE" w:bidi="ar_AE"/>
          </w:rPr>
          <w:rPr>
            <w:color w:val="0000EE"/>
            <w:u w:val="single"/>
          </w:rPr>
          <w:t>أعمال الرسل 9: 30</w:t>
        </w:r>
      </w:hyperlink>
    </w:p>
    <w:p>
      <w:pPr>
        <w:pStyle w:val="ListBullet"/>
        <w:bidi/>
        <w:spacing w:line="240" w:lineRule="auto"/>
        <w:ind w:left="720"/>
      </w:pPr>
      <w:r>
        <w:rPr>
          <w:lang w:val="ar_AE" w:bidi="ar_AE"/>
        </w:rPr>
      </w:r>
      <w:hyperlink r:id="rId28">
        <w:r>
          <w:rPr>
            <w:lang w:val="ar_AE" w:bidi="ar_AE"/>
          </w:rPr>
          <w:rPr>
            <w:color w:val="0000EE"/>
            <w:u w:val="single"/>
          </w:rPr>
          <w:t>أعمال الرسل 11: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G50180، G50190</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"طوفان" يشير حرفيًا إلى كمية ضخمة من الماء تغطي الأرض بالكامل.</w:t>
      </w:r>
    </w:p>
    <w:p>
      <w:pPr>
        <w:pStyle w:val="ListBullet"/>
        <w:bidi/>
        <w:spacing w:line="240" w:lineRule="auto"/>
        <w:ind w:left="720"/>
      </w:pPr>
      <w:r>
        <w:rPr>
          <w:lang w:val="ar_AE" w:bidi="ar_AE"/>
        </w:rPr>
      </w:r>
      <w:r>
        <w:rPr>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lang w:val="ar_AE" w:bidi="ar_AE"/>
        </w:rPr>
      </w:r>
      <w:r>
        <w:rPr>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lang w:val="ar_AE" w:bidi="ar_AE"/>
        </w:rPr>
      </w:r>
      <w:r>
        <w:rPr>
          <w:lang w:val="ar_AE" w:bidi="ar_AE"/>
        </w:rPr>
        <w:t>يمكن أن يأتي هذا المصطلح كذلك باعتباره "فِعْلًا"، كما في "غُمِرَت الأرض بمياه النهر".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lang w:val="ar_AE" w:bidi="ar_AE"/>
        </w:rPr>
      </w:r>
      <w:r>
        <w:rPr>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lang w:val="ar_AE" w:bidi="ar_AE"/>
        </w:rPr>
      </w:r>
      <w:r>
        <w:rPr>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lang w:val="ar_AE" w:bidi="ar_AE"/>
        </w:rPr>
      </w:r>
      <w:r>
        <w:rPr>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lang w:val="ar_AE" w:bidi="ar_AE"/>
        </w:rPr>
      </w:r>
      <w:r>
        <w:rPr>
          <w:lang w:val="ar_AE" w:bidi="ar_AE"/>
        </w:rPr>
        <w:t>يمكن ترجمة التعبير المجازي "أغمر سريري بالدموع" من خلال تعبير مثل "دموعي تغطي سريري بالماء مثل فيضان".</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دانيآل 11: 10</w:t>
        </w:r>
      </w:hyperlink>
    </w:p>
    <w:p>
      <w:pPr>
        <w:pStyle w:val="ListBullet"/>
        <w:bidi/>
        <w:spacing w:line="240" w:lineRule="auto"/>
        <w:ind w:left="720"/>
      </w:pPr>
      <w:r>
        <w:rPr>
          <w:lang w:val="ar_AE" w:bidi="ar_AE"/>
        </w:rPr>
      </w:r>
      <w:hyperlink r:id="rId30">
        <w:r>
          <w:rPr>
            <w:lang w:val="ar_AE" w:bidi="ar_AE"/>
          </w:rPr>
          <w:rPr>
            <w:color w:val="0000EE"/>
            <w:u w:val="single"/>
          </w:rPr>
          <w:t>تكوين 7: 6–7</w:t>
        </w:r>
      </w:hyperlink>
    </w:p>
    <w:p>
      <w:pPr>
        <w:pStyle w:val="ListBullet"/>
        <w:bidi/>
        <w:spacing w:line="240" w:lineRule="auto"/>
        <w:ind w:left="720"/>
      </w:pPr>
      <w:r>
        <w:rPr>
          <w:lang w:val="ar_AE" w:bidi="ar_AE"/>
        </w:rPr>
      </w:r>
      <w:hyperlink r:id="rId31">
        <w:r>
          <w:rPr>
            <w:lang w:val="ar_AE" w:bidi="ar_AE"/>
          </w:rPr>
          <w:rPr>
            <w:color w:val="0000EE"/>
            <w:u w:val="single"/>
          </w:rPr>
          <w:t>لوقا 6: 46–48</w:t>
        </w:r>
      </w:hyperlink>
    </w:p>
    <w:p>
      <w:pPr>
        <w:pStyle w:val="ListBullet"/>
        <w:bidi/>
        <w:spacing w:line="240" w:lineRule="auto"/>
        <w:ind w:left="720"/>
      </w:pPr>
      <w:r>
        <w:rPr>
          <w:lang w:val="ar_AE" w:bidi="ar_AE"/>
        </w:rPr>
      </w:r>
      <w:hyperlink r:id="rId32">
        <w:r>
          <w:rPr>
            <w:lang w:val="ar_AE" w:bidi="ar_AE"/>
          </w:rPr>
          <w:rPr>
            <w:color w:val="0000EE"/>
            <w:u w:val="single"/>
          </w:rPr>
          <w:t>متى 7: 24–25</w:t>
        </w:r>
      </w:hyperlink>
    </w:p>
    <w:p>
      <w:pPr>
        <w:pStyle w:val="ListBullet"/>
        <w:bidi/>
        <w:spacing w:line="240" w:lineRule="auto"/>
        <w:ind w:left="720"/>
      </w:pPr>
      <w:r>
        <w:rPr>
          <w:lang w:val="ar_AE" w:bidi="ar_AE"/>
        </w:rPr>
      </w:r>
      <w:hyperlink r:id="rId33">
        <w:r>
          <w:rPr>
            <w:lang w:val="ar_AE" w:bidi="ar_AE"/>
          </w:rPr>
          <w:rPr>
            <w:color w:val="0000EE"/>
            <w:u w:val="single"/>
          </w:rPr>
          <w:t>متى 7: 26–27</w:t>
        </w:r>
      </w:hyperlink>
    </w:p>
    <w:p>
      <w:pPr>
        <w:pStyle w:val="ListBullet"/>
        <w:bidi/>
        <w:spacing w:line="240" w:lineRule="auto"/>
        <w:ind w:left="720"/>
      </w:pPr>
      <w:r>
        <w:rPr>
          <w:lang w:val="ar_AE" w:bidi="ar_AE"/>
        </w:rPr>
      </w:r>
      <w:hyperlink r:id="rId34">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H3999, G26270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7:2" TargetMode="External"/><Relationship Id="rId14" Type="http://schemas.openxmlformats.org/officeDocument/2006/relationships/hyperlink" Target="https://ref.ly/Gen7:8" TargetMode="External"/><Relationship Id="rId15" Type="http://schemas.openxmlformats.org/officeDocument/2006/relationships/hyperlink" Target="https://ref.ly/Deut12:15" TargetMode="External"/><Relationship Id="rId16" Type="http://schemas.openxmlformats.org/officeDocument/2006/relationships/hyperlink" Target="https://ref.ly/Ps51:7" TargetMode="External"/><Relationship Id="rId17" Type="http://schemas.openxmlformats.org/officeDocument/2006/relationships/hyperlink" Target="https://ref.ly/Prov20:30" TargetMode="External"/><Relationship Id="rId18" Type="http://schemas.openxmlformats.org/officeDocument/2006/relationships/hyperlink" Target="https://ref.ly/Ezek24:13" TargetMode="External"/><Relationship Id="rId19" Type="http://schemas.openxmlformats.org/officeDocument/2006/relationships/hyperlink" Target="https://ref.ly/Matt23:27" TargetMode="External"/><Relationship Id="rId20" Type="http://schemas.openxmlformats.org/officeDocument/2006/relationships/hyperlink" Target="https://ref.ly/Luke5:13" TargetMode="External"/><Relationship Id="rId21" Type="http://schemas.openxmlformats.org/officeDocument/2006/relationships/hyperlink" Target="https://ref.ly/Acts8:7" TargetMode="External"/><Relationship Id="rId22" Type="http://schemas.openxmlformats.org/officeDocument/2006/relationships/hyperlink" Target="https://ref.ly/Acts10:27-Acts10:29" TargetMode="External"/><Relationship Id="rId23" Type="http://schemas.openxmlformats.org/officeDocument/2006/relationships/hyperlink" Target="https://ref.ly/Col3:5" TargetMode="External"/><Relationship Id="rId24" Type="http://schemas.openxmlformats.org/officeDocument/2006/relationships/hyperlink" Target="https://ref.ly/1Thess4:7" TargetMode="External"/><Relationship Id="rId25" Type="http://schemas.openxmlformats.org/officeDocument/2006/relationships/hyperlink" Target="https://ref.ly/Jas4:8" TargetMode="External"/><Relationship Id="rId26" Type="http://schemas.openxmlformats.org/officeDocument/2006/relationships/hyperlink" Target="https://ref.ly/Acts9:11" TargetMode="External"/><Relationship Id="rId27" Type="http://schemas.openxmlformats.org/officeDocument/2006/relationships/hyperlink" Target="https://ref.ly/Acts9:30" TargetMode="External"/><Relationship Id="rId28" Type="http://schemas.openxmlformats.org/officeDocument/2006/relationships/hyperlink" Target="https://ref.ly/Acts11:25" TargetMode="External"/><Relationship Id="rId29" Type="http://schemas.openxmlformats.org/officeDocument/2006/relationships/hyperlink" Target="https://ref.ly/Dan11:10" TargetMode="External"/><Relationship Id="rId30" Type="http://schemas.openxmlformats.org/officeDocument/2006/relationships/hyperlink" Target="https://ref.ly/Gen7:6-Gen7:7" TargetMode="External"/><Relationship Id="rId31" Type="http://schemas.openxmlformats.org/officeDocument/2006/relationships/hyperlink" Target="https://ref.ly/Luke6:46-Luke6:48" TargetMode="External"/><Relationship Id="rId32" Type="http://schemas.openxmlformats.org/officeDocument/2006/relationships/hyperlink" Target="https://ref.ly/Matt7:24-Matt7:25" TargetMode="External"/><Relationship Id="rId33" Type="http://schemas.openxmlformats.org/officeDocument/2006/relationships/hyperlink" Target="https://ref.ly/Matt7:26-Matt7:27" TargetMode="External"/><Relationship Id="rId34"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