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1.9–11</w:t>
        </w:r>
      </w:hyperlink>
    </w:p>
    <w:p>
      <w:pPr>
        <w:pStyle w:val="ListBullet"/>
        <w:spacing w:line="240" w:lineRule="auto"/>
        <w:ind w:left="720"/>
      </w:pPr>
      <w:r>
        <w:rPr>
          <w:lang w:val="fr_FR" w:bidi="fr_FR"/>
        </w:rPr>
      </w:r>
      <w:hyperlink r:id="rId14">
        <w:r>
          <w:rPr>
            <w:lang w:val="fr_FR" w:bidi="fr_FR"/>
          </w:rPr>
          <w:rPr>
            <w:color w:val="0000EE"/>
            <w:u w:val="single"/>
          </w:rPr>
          <w:t>Esther 2.1–2</w:t>
        </w:r>
      </w:hyperlink>
    </w:p>
    <w:p>
      <w:pPr>
        <w:pStyle w:val="ListBullet"/>
        <w:spacing w:line="240" w:lineRule="auto"/>
        <w:ind w:left="720"/>
      </w:pPr>
      <w:r>
        <w:rPr>
          <w:lang w:val="fr_FR" w:bidi="fr_FR"/>
        </w:rPr>
      </w:r>
      <w:hyperlink r:id="rId15">
        <w:r>
          <w:rPr>
            <w:lang w:val="fr_FR" w:bidi="fr_FR"/>
          </w:rPr>
          <w:rPr>
            <w:color w:val="0000EE"/>
            <w:u w:val="single"/>
          </w:rPr>
          <w:t>Esther 2.17–18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