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Wadi</w:t>
      </w:r>
      <w:r>
        <w:rPr>
          <w:lang w:val="id_ID" w:bidi="id_ID"/>
        </w:rPr>
      </w:r>
    </w:p>
    <w:p>
      <w:pPr>
        <w:pStyle w:val="Heading3"/>
      </w:pPr>
      <w:r>
        <w:rPr>
          <w:lang w:val="id_ID" w:bidi="id_ID"/>
        </w:rPr>
        <w:t>Definisi:</w:t>
      </w:r>
    </w:p>
    <w:p>
      <w:pPr/>
      <w:r>
        <w:rPr>
          <w:lang w:val="id_ID" w:bidi="id_ID"/>
        </w:rPr>
      </w:r>
      <w:r>
        <w:rPr>
          <w:lang w:val="id_ID" w:bidi="id_ID"/>
        </w:rPr>
        <w:t>Istilah "wadi" merujuk pada aliran musiman, sungai musiman, atau lembah yang menjadi dasar sungai selama sebagian tahun.</w:t>
      </w:r>
    </w:p>
    <w:p>
      <w:pPr>
        <w:pStyle w:val="ListBullet"/>
        <w:spacing w:line="240" w:lineRule="auto"/>
        <w:ind w:left="720"/>
      </w:pPr>
      <w:r>
        <w:rPr>
          <w:lang w:val="id_ID" w:bidi="id_ID"/>
        </w:rPr>
      </w:r>
      <w:r>
        <w:rPr>
          <w:lang w:val="id_ID" w:bidi="id_ID"/>
        </w:rPr>
        <w:t>Sebuah "wadi" berisi air selama beberapa bulan dalam setahun dan kering selama bulan-bulan lainnya.</w:t>
      </w:r>
    </w:p>
    <w:p>
      <w:pPr>
        <w:pStyle w:val="ListBullet"/>
        <w:spacing w:line="240" w:lineRule="auto"/>
        <w:ind w:left="720"/>
      </w:pPr>
      <w:r>
        <w:rPr>
          <w:lang w:val="id_ID" w:bidi="id_ID"/>
        </w:rPr>
      </w:r>
      <w:r>
        <w:rPr>
          <w:lang w:val="id_ID" w:bidi="id_ID"/>
        </w:rPr>
        <w:t>Ketika "wadi" berisi air, jumlah air tersebut bergantung pada musim apa yang sedang berlangsung dalam tahun itu, seberapa banyak hujan yang diterima daerah tersebut, dan ukuran wadi itu.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"wadi" dapat mencakup "sungai musiman", "dasar sungai musiman", "lembah sungai", atau "dasar sungai".</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1:7</w:t>
        </w:r>
      </w:hyperlink>
    </w:p>
    <w:p>
      <w:pPr>
        <w:pStyle w:val="ListBullet"/>
        <w:spacing w:line="240" w:lineRule="auto"/>
        <w:ind w:left="720"/>
      </w:pPr>
      <w:r>
        <w:rPr>
          <w:lang w:val="id_ID" w:bidi="id_ID"/>
        </w:rPr>
      </w:r>
      <w:hyperlink r:id="rId14">
        <w:r>
          <w:rPr>
            <w:lang w:val="id_ID" w:bidi="id_ID"/>
          </w:rPr>
          <w:rPr>
            <w:color w:val="0000EE"/>
            <w:u w:val="single"/>
          </w:rPr>
          <w:t>Daniel 12:1–2</w:t>
        </w:r>
      </w:hyperlink>
    </w:p>
    <w:p>
      <w:pPr>
        <w:pStyle w:val="ListBullet"/>
        <w:spacing w:line="240" w:lineRule="auto"/>
        <w:ind w:left="720"/>
      </w:pPr>
      <w:r>
        <w:rPr>
          <w:lang w:val="id_ID" w:bidi="id_ID"/>
        </w:rPr>
      </w:r>
      <w:hyperlink r:id="rId15">
        <w:r>
          <w:rPr>
            <w:lang w:val="id_ID" w:bidi="id_ID"/>
          </w:rPr>
          <w:rPr>
            <w:color w:val="0000EE"/>
            <w:u w:val="single"/>
          </w:rPr>
          <w:t>Markus 11:11</w:t>
        </w:r>
      </w:hyperlink>
    </w:p>
    <w:p>
      <w:pPr>
        <w:pStyle w:val="ListBullet"/>
        <w:spacing w:line="240" w:lineRule="auto"/>
        <w:ind w:left="720"/>
      </w:pPr>
      <w:r>
        <w:rPr>
          <w:lang w:val="id_ID" w:bidi="id_ID"/>
        </w:rPr>
      </w:r>
      <w:hyperlink r:id="rId16">
        <w:r>
          <w:rPr>
            <w:lang w:val="id_ID" w:bidi="id_ID"/>
          </w:rPr>
          <w:rPr>
            <w:color w:val="0000EE"/>
            <w:u w:val="single"/>
          </w:rPr>
          <w:t>Matius 8:29</w:t>
        </w:r>
      </w:hyperlink>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hyperlink r:id="rId17">
        <w:r>
          <w:rPr>
            <w:lang w:val="id_ID" w:bidi="id_ID"/>
          </w:rPr>
          <w:rPr>
            <w:color w:val="0000EE"/>
            <w:u w:val="single"/>
          </w:rPr>
          <w:t>Wahyu 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Lukas 12:37–38</w:t>
        </w:r>
      </w:hyperlink>
    </w:p>
    <w:p>
      <w:pPr>
        <w:pStyle w:val="ListBullet"/>
        <w:spacing w:line="240" w:lineRule="auto"/>
        <w:ind w:left="720"/>
      </w:pPr>
      <w:r>
        <w:rPr>
          <w:lang w:val="id_ID" w:bidi="id_ID"/>
        </w:rPr>
      </w:r>
      <w:hyperlink r:id="rId19">
        <w:r>
          <w:rPr>
            <w:lang w:val="id_ID" w:bidi="id_ID"/>
          </w:rPr>
          <w:rPr>
            <w:color w:val="0000EE"/>
            <w:u w:val="single"/>
          </w:rPr>
          <w:t>Markus 6:48–50</w:t>
        </w:r>
      </w:hyperlink>
    </w:p>
    <w:p>
      <w:pPr>
        <w:pStyle w:val="ListBullet"/>
        <w:spacing w:line="240" w:lineRule="auto"/>
        <w:ind w:left="720"/>
      </w:pPr>
      <w:r>
        <w:rPr>
          <w:lang w:val="id_ID" w:bidi="id_ID"/>
        </w:rPr>
      </w:r>
      <w:hyperlink r:id="rId20">
        <w:r>
          <w:rPr>
            <w:lang w:val="id_ID" w:bidi="id_ID"/>
          </w:rPr>
          <w:rPr>
            <w:color w:val="0000EE"/>
            <w:u w:val="single"/>
          </w:rPr>
          <w:t>Matius 14:25–27</w:t>
        </w:r>
      </w:hyperlink>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p>
      <w:pPr/>
      <w:r>
        <w:rPr>
          <w:lang w:val="id_ID" w:bidi="id_ID"/>
        </w:rPr>
      </w:r>
    </w:p>
    <w:p>
      <w:pPr>
        <w:pStyle w:val="Heading2"/>
      </w:pPr>
      <w:r>
        <w:rPr>
          <w:lang w:val="id_ID" w:bidi="id_ID"/>
        </w:rPr>
        <w:t>Wali Negeri</w:t>
      </w:r>
      <w:r>
        <w:rPr>
          <w:lang w:val="id_ID" w:bidi="id_ID"/>
        </w:rPr>
      </w:r>
    </w:p>
    <w:p>
      <w:pPr>
        <w:pStyle w:val="Heading3"/>
      </w:pPr>
      <w:r>
        <w:rPr>
          <w:lang w:val="id_ID" w:bidi="id_ID"/>
        </w:rPr>
        <w:t>Definisi:</w:t>
      </w:r>
    </w:p>
    <w:p>
      <w:pPr/>
      <w:r>
        <w:rPr>
          <w:lang w:val="id_ID" w:bidi="id_ID"/>
        </w:rPr>
      </w:r>
      <w:r>
        <w:rPr>
          <w:lang w:val="id_ID" w:bidi="id_ID"/>
        </w:rPr>
        <w:t>Seorang "wali negeri" adalah individu yang memerintah atas wilayah yang luas, seperti wilayah, daerah, atau provinsi, dalam suatu negara atau kekaisaran.</w:t>
      </w:r>
    </w:p>
    <w:p>
      <w:pPr>
        <w:pStyle w:val="ListBullet"/>
        <w:spacing w:line="240" w:lineRule="auto"/>
        <w:ind w:left="720"/>
      </w:pPr>
      <w:r>
        <w:rPr>
          <w:lang w:val="id_ID" w:bidi="id_ID"/>
        </w:rPr>
      </w:r>
      <w:r>
        <w:rPr>
          <w:lang w:val="id_ID" w:bidi="id_ID"/>
        </w:rPr>
        <w:t>Dalam Perjanjian Lama, istilah "kepala daerah" adalah gelar khusus untuk seorang wali negeri yang memerintah sebuah provinsi di bawah kekuasaan Persia.</w:t>
      </w:r>
    </w:p>
    <w:p>
      <w:pPr>
        <w:pStyle w:val="ListBullet"/>
        <w:spacing w:line="240" w:lineRule="auto"/>
        <w:ind w:left="720"/>
      </w:pPr>
      <w:r>
        <w:rPr>
          <w:lang w:val="id_ID" w:bidi="id_ID"/>
        </w:rPr>
      </w:r>
      <w:r>
        <w:rPr>
          <w:lang w:val="id_ID" w:bidi="id_ID"/>
        </w:rPr>
        <w:t>Dalam Perjanjian Baru, istilah "gubernur" adalah gelar khusus untuk seorang Wali Negeri yang memerintah sebuah provinsi Romawi.</w:t>
      </w:r>
    </w:p>
    <w:p>
      <w:pPr>
        <w:pStyle w:val="ListBullet"/>
        <w:spacing w:line="240" w:lineRule="auto"/>
        <w:ind w:left="720"/>
      </w:pPr>
      <w:r>
        <w:rPr>
          <w:lang w:val="id_ID" w:bidi="id_ID"/>
        </w:rPr>
      </w:r>
      <w:r>
        <w:rPr>
          <w:lang w:val="id_ID" w:bidi="id_ID"/>
        </w:rPr>
        <w:t>Pada zaman Alkitab, wali negeri diangkat oleh raja atau kaisar dan berada di bawah otoritasnya.</w:t>
      </w:r>
    </w:p>
    <w:p>
      <w:pPr>
        <w:pStyle w:val="ListBullet"/>
        <w:spacing w:line="240" w:lineRule="auto"/>
        <w:ind w:left="720"/>
      </w:pPr>
      <w:r>
        <w:rPr>
          <w:lang w:val="id_ID" w:bidi="id_ID"/>
        </w:rPr>
      </w:r>
      <w:r>
        <w:rPr>
          <w:lang w:val="id_ID" w:bidi="id_ID"/>
        </w:rPr>
        <w:t>Sebuah "pemerintahan" terdiri dari semua penguasa yang memimpin suatu negara atau kekaisaran tertentu. Para penguasa ini membuat undang-undang yang mengarahkan perilaku warga negara mereka agar tercipta perdamaian, keamanan, dan kemakmuran bagi semua orang di negara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Kata "wali negeri" juga dapat diterjemahkan sebagai "penguasa," "pengawas," "pemimpin daerah," atau "seseorang yang memerintah wilayah kecil."</w:t>
      </w:r>
    </w:p>
    <w:p>
      <w:pPr>
        <w:pStyle w:val="ListBullet"/>
        <w:spacing w:line="240" w:lineRule="auto"/>
        <w:ind w:left="720"/>
      </w:pPr>
      <w:r>
        <w:rPr>
          <w:lang w:val="id_ID" w:bidi="id_ID"/>
        </w:rPr>
      </w:r>
      <w:r>
        <w:rPr>
          <w:lang w:val="id_ID" w:bidi="id_ID"/>
        </w:rPr>
        <w:t>Bergantung pada konteksnya, istilah "memerintah" dapat diterjemahkan sebagai "menguasai," "memimpin," "mengelola," atau "mengawasi."</w:t>
      </w:r>
    </w:p>
    <w:p>
      <w:pPr>
        <w:pStyle w:val="ListBullet"/>
        <w:spacing w:line="240" w:lineRule="auto"/>
        <w:ind w:left="720"/>
      </w:pPr>
      <w:r>
        <w:rPr>
          <w:lang w:val="id_ID" w:bidi="id_ID"/>
        </w:rPr>
      </w:r>
      <w:r>
        <w:rPr>
          <w:lang w:val="id_ID" w:bidi="id_ID"/>
        </w:rPr>
        <w:t>Istilah "wali negeri" perlu diterjemahkan secara berbeda dari istilah "raja" atau "kaisar", karena wali negeri adalah penguasa dengan kekuasaan yang lebih rendah dan berada di bawah otoritas mereka.</w:t>
      </w:r>
    </w:p>
    <w:p>
      <w:pPr>
        <w:pStyle w:val="ListBullet"/>
        <w:spacing w:line="240" w:lineRule="auto"/>
        <w:ind w:left="720"/>
      </w:pPr>
      <w:r>
        <w:rPr>
          <w:lang w:val="id_ID" w:bidi="id_ID"/>
        </w:rPr>
      </w:r>
      <w:r>
        <w:rPr>
          <w:lang w:val="id_ID" w:bidi="id_ID"/>
        </w:rPr>
        <w:t>Istilah "gubernur" juga dapat diterjemahkan sebagai "wali negeri Roma" atau "penguasa provinsi Roma."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raja</w:t>
      </w:r>
      <w:r>
        <w:rPr>
          <w:lang w:val="id_ID" w:bidi="id_ID"/>
        </w:rPr>
        <w:t xml:space="preserve">, </w:t>
      </w:r>
      <w:r>
        <w:rPr>
          <w:lang w:val="id_ID" w:bidi="id_ID"/>
        </w:rPr>
        <w:t>kekuatan</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penguasa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Kisah Para Rasul 7:9–10</w:t>
        </w:r>
      </w:hyperlink>
    </w:p>
    <w:p>
      <w:pPr>
        <w:pStyle w:val="ListBullet"/>
        <w:spacing w:line="240" w:lineRule="auto"/>
        <w:ind w:left="720"/>
      </w:pPr>
      <w:r>
        <w:rPr>
          <w:lang w:val="id_ID" w:bidi="id_ID"/>
        </w:rPr>
      </w:r>
      <w:hyperlink r:id="rId22">
        <w:r>
          <w:rPr>
            <w:lang w:val="id_ID" w:bidi="id_ID"/>
          </w:rPr>
          <w:rPr>
            <w:color w:val="0000EE"/>
            <w:u w:val="single"/>
          </w:rPr>
          <w:t>Kisah Para Rasul 23:22</w:t>
        </w:r>
      </w:hyperlink>
    </w:p>
    <w:p>
      <w:pPr>
        <w:pStyle w:val="ListBullet"/>
        <w:spacing w:line="240" w:lineRule="auto"/>
        <w:ind w:left="720"/>
      </w:pPr>
      <w:r>
        <w:rPr>
          <w:lang w:val="id_ID" w:bidi="id_ID"/>
        </w:rPr>
      </w:r>
      <w:hyperlink r:id="rId23">
        <w:r>
          <w:rPr>
            <w:lang w:val="id_ID" w:bidi="id_ID"/>
          </w:rPr>
          <w:rPr>
            <w:color w:val="0000EE"/>
            <w:u w:val="single"/>
          </w:rPr>
          <w:t>Kisah Para Rasul 26:30</w:t>
        </w:r>
      </w:hyperlink>
    </w:p>
    <w:p>
      <w:pPr>
        <w:pStyle w:val="ListBullet"/>
        <w:spacing w:line="240" w:lineRule="auto"/>
        <w:ind w:left="720"/>
      </w:pPr>
      <w:r>
        <w:rPr>
          <w:lang w:val="id_ID" w:bidi="id_ID"/>
        </w:rPr>
      </w:r>
      <w:hyperlink r:id="rId24">
        <w:r>
          <w:rPr>
            <w:lang w:val="id_ID" w:bidi="id_ID"/>
          </w:rPr>
          <w:rPr>
            <w:color w:val="0000EE"/>
            <w:u w:val="single"/>
          </w:rPr>
          <w:t>Markus 13:9–10</w:t>
        </w:r>
      </w:hyperlink>
    </w:p>
    <w:p>
      <w:pPr>
        <w:pStyle w:val="ListBullet"/>
        <w:spacing w:line="240" w:lineRule="auto"/>
        <w:ind w:left="720"/>
      </w:pPr>
      <w:r>
        <w:rPr>
          <w:lang w:val="id_ID" w:bidi="id_ID"/>
        </w:rPr>
      </w:r>
      <w:hyperlink r:id="rId25">
        <w:r>
          <w:rPr>
            <w:lang w:val="id_ID" w:bidi="id_ID"/>
          </w:rPr>
          <w:rPr>
            <w:color w:val="0000EE"/>
            <w:u w:val="single"/>
          </w:rPr>
          <w:t>Matius 10:18</w:t>
        </w:r>
      </w:hyperlink>
    </w:p>
    <w:p>
      <w:pPr>
        <w:pStyle w:val="ListBullet"/>
        <w:spacing w:line="240" w:lineRule="auto"/>
        <w:ind w:left="720"/>
      </w:pPr>
      <w:r>
        <w:rPr>
          <w:lang w:val="id_ID" w:bidi="id_ID"/>
        </w:rPr>
      </w:r>
      <w:hyperlink r:id="rId26">
        <w:r>
          <w:rPr>
            <w:lang w:val="id_ID" w:bidi="id_ID"/>
          </w:rPr>
          <w:rPr>
            <w:color w:val="0000EE"/>
            <w:u w:val="single"/>
          </w:rPr>
          <w:t>Matius 27:1–2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H0324, H1777, H2280, H4951, H5148, H5460, H6346, H6347, H6486, H7989, H8269, H8660, G04450, G04460, G07460, G14810, G22320, G22330, G22300, G42320</w:t>
      </w:r>
      <w:r>
        <w:rPr>
          <w:lang w:val="id_ID" w:bidi="id_ID"/>
        </w:rPr>
      </w:r>
      <w:r>
        <w:rPr>
          <w:lang w:val="id_ID" w:bidi="id_ID"/>
        </w:rPr>
      </w:r>
    </w:p>
    <w:p>
      <w:pPr/>
      <w:r>
        <w:rPr>
          <w:lang w:val="id_ID" w:bidi="id_ID"/>
        </w:rPr>
      </w:r>
    </w:p>
    <w:p>
      <w:pPr>
        <w:pStyle w:val="Heading2"/>
      </w:pPr>
      <w:r>
        <w:rPr>
          <w:lang w:val="id_ID" w:bidi="id_ID"/>
        </w:rPr>
        <w:t>Warga negara</w:t>
      </w:r>
      <w:r>
        <w:rPr>
          <w:lang w:val="id_ID" w:bidi="id_ID"/>
        </w:rPr>
      </w:r>
    </w:p>
    <w:p>
      <w:pPr>
        <w:pStyle w:val="Heading3"/>
      </w:pPr>
      <w:r>
        <w:rPr>
          <w:lang w:val="id_ID" w:bidi="id_ID"/>
        </w:rPr>
        <w:t>Pengertian:</w:t>
      </w:r>
    </w:p>
    <w:p>
      <w:pPr/>
      <w:r>
        <w:rPr>
          <w:lang w:val="id_ID" w:bidi="id_ID"/>
        </w:rPr>
      </w:r>
      <w:r>
        <w:rPr>
          <w:lang w:val="id_ID" w:bidi="id_ID"/>
        </w:rPr>
        <w:t>Seorang warga negara adalah seseorang yang tinggal di kota, negara, atau kerajaan tertentu. Secara khusus, istilah ini merujuk pada seseorang yang diakui secara resmi sebagai penduduk resmi di tempat tersebut.</w:t>
      </w:r>
    </w:p>
    <w:p>
      <w:pPr>
        <w:pStyle w:val="ListBullet"/>
        <w:spacing w:line="240" w:lineRule="auto"/>
        <w:ind w:left="720"/>
      </w:pPr>
      <w:r>
        <w:rPr>
          <w:lang w:val="id_ID" w:bidi="id_ID"/>
        </w:rPr>
      </w:r>
      <w:r>
        <w:rPr>
          <w:lang w:val="id_ID" w:bidi="id_ID"/>
        </w:rPr>
        <w:t>Tergantung pada konteksnya, istilah ini juga dapat diterjemahkan sebagai "penduduk" atau "penduduk resmi."</w:t>
      </w:r>
    </w:p>
    <w:p>
      <w:pPr>
        <w:pStyle w:val="ListBullet"/>
        <w:spacing w:line="240" w:lineRule="auto"/>
        <w:ind w:left="720"/>
      </w:pPr>
      <w:r>
        <w:rPr>
          <w:lang w:val="id_ID" w:bidi="id_ID"/>
        </w:rPr>
      </w:r>
      <w:r>
        <w:rPr>
          <w:lang w:val="id_ID" w:bidi="id_ID"/>
        </w:rPr>
        <w:t>Seorang warga negara dapat tinggal di suatu wilayah yang merupakan bagian dari kerajaan atau kekaisaran yang lebih besar yang diperintah oleh raja, kaisar, atau penguasa lainnya. Sebagai contoh, Paulus adalah seorang warga negara Kekaisaran Romawi, yang terdiri dari banyak provinsi; Paulus tinggal di salah satu provinsi tersebut.</w:t>
      </w:r>
    </w:p>
    <w:p>
      <w:pPr>
        <w:pStyle w:val="ListBullet"/>
        <w:spacing w:line="240" w:lineRule="auto"/>
        <w:ind w:left="720"/>
      </w:pPr>
      <w:r>
        <w:rPr>
          <w:lang w:val="id_ID" w:bidi="id_ID"/>
        </w:rPr>
      </w:r>
      <w:r>
        <w:rPr>
          <w:lang w:val="id_ID" w:bidi="id_ID"/>
        </w:rPr>
        <w:t>Dalam arti kiasan, orang-orang yang percaya kepada Yesus disebut sebagai “warga negara” surga dalam arti bahwa mereka akan tinggal di sana suatu hari nanti. Seperti seorang warga negara, orang Kristen adalah bagian dari kerajaan Allah.</w:t>
      </w:r>
    </w:p>
    <w:p>
      <w:pPr/>
      <w:r>
        <w:rPr>
          <w:lang w:val="id_ID" w:bidi="id_ID"/>
        </w:rPr>
      </w:r>
      <w:r>
        <w:rPr>
          <w:lang w:val="id_ID" w:bidi="id_ID"/>
        </w:rPr>
        <w:t xml:space="preserve">(Lihat: </w:t>
      </w:r>
      <w:r>
        <w:rPr>
          <w:lang w:val="id_ID" w:bidi="id_ID"/>
        </w:rPr>
        <w:t>kerajaan</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Kisah Para Rasul 21:39–40</w:t>
        </w:r>
      </w:hyperlink>
    </w:p>
    <w:p>
      <w:pPr>
        <w:pStyle w:val="ListBullet"/>
        <w:spacing w:line="240" w:lineRule="auto"/>
        <w:ind w:left="720"/>
      </w:pPr>
      <w:r>
        <w:rPr>
          <w:lang w:val="id_ID" w:bidi="id_ID"/>
        </w:rPr>
      </w:r>
      <w:hyperlink r:id="rId28">
        <w:r>
          <w:rPr>
            <w:lang w:val="id_ID" w:bidi="id_ID"/>
          </w:rPr>
          <w:rPr>
            <w:color w:val="0000EE"/>
            <w:u w:val="single"/>
          </w:rPr>
          <w:t>Yesaya 3:3</w:t>
        </w:r>
      </w:hyperlink>
    </w:p>
    <w:p>
      <w:pPr>
        <w:pStyle w:val="ListBullet"/>
        <w:spacing w:line="240" w:lineRule="auto"/>
        <w:ind w:left="720"/>
      </w:pPr>
      <w:r>
        <w:rPr>
          <w:lang w:val="id_ID" w:bidi="id_ID"/>
        </w:rPr>
      </w:r>
      <w:hyperlink r:id="rId29">
        <w:r>
          <w:rPr>
            <w:lang w:val="id_ID" w:bidi="id_ID"/>
          </w:rPr>
          <w:rPr>
            <w:color w:val="0000EE"/>
            <w:u w:val="single"/>
          </w:rPr>
          <w:t>Lukas 15:15</w:t>
        </w:r>
      </w:hyperlink>
    </w:p>
    <w:p>
      <w:pPr>
        <w:pStyle w:val="ListBullet"/>
        <w:spacing w:line="240" w:lineRule="auto"/>
        <w:ind w:left="720"/>
      </w:pPr>
      <w:r>
        <w:rPr>
          <w:lang w:val="id_ID" w:bidi="id_ID"/>
        </w:rPr>
      </w:r>
      <w:hyperlink r:id="rId30">
        <w:r>
          <w:rPr>
            <w:lang w:val="id_ID" w:bidi="id_ID"/>
          </w:rPr>
          <w:rPr>
            <w:color w:val="0000EE"/>
            <w:u w:val="single"/>
          </w:rPr>
          <w:t>Lukas 19:14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H6440, G41750, G41770, G48470</w:t>
      </w:r>
      <w:r>
        <w:rPr>
          <w:lang w:val="id_ID" w:bidi="id_ID"/>
        </w:rPr>
      </w:r>
      <w:r>
        <w:rPr>
          <w:lang w:val="id_ID" w:bidi="id_ID"/>
        </w:rPr>
      </w:r>
    </w:p>
    <w:p>
      <w:pPr/>
      <w:r>
        <w:rPr>
          <w:lang w:val="id_ID" w:bidi="id_ID"/>
        </w:rPr>
      </w:r>
    </w:p>
    <w:p>
      <w:pPr>
        <w:pStyle w:val="Heading2"/>
      </w:pPr>
      <w:r>
        <w:rPr>
          <w:lang w:val="id_ID" w:bidi="id_ID"/>
        </w:rPr>
        <w:t>Wasti</w:t>
      </w:r>
      <w:r>
        <w:rPr>
          <w:lang w:val="id_ID" w:bidi="id_ID"/>
        </w:rPr>
      </w:r>
    </w:p>
    <w:p>
      <w:pPr>
        <w:pStyle w:val="Heading3"/>
      </w:pPr>
      <w:r>
        <w:rPr>
          <w:lang w:val="id_ID" w:bidi="id_ID"/>
        </w:rPr>
        <w:t>Fakta:</w:t>
      </w:r>
    </w:p>
    <w:p>
      <w:pPr/>
      <w:r>
        <w:rPr>
          <w:lang w:val="id_ID" w:bidi="id_ID"/>
        </w:rPr>
      </w:r>
      <w:r>
        <w:rPr>
          <w:lang w:val="id_ID" w:bidi="id_ID"/>
        </w:rPr>
        <w:t>Dalam kitab Ester di Perjanjian Lama, Wasti adalah istri dari Ahasyweros, raja Persia.</w:t>
      </w:r>
    </w:p>
    <w:p>
      <w:pPr>
        <w:pStyle w:val="ListBullet"/>
        <w:spacing w:line="240" w:lineRule="auto"/>
        <w:ind w:left="720"/>
      </w:pPr>
      <w:r>
        <w:rPr>
          <w:lang w:val="id_ID" w:bidi="id_ID"/>
        </w:rPr>
      </w:r>
      <w:r>
        <w:rPr>
          <w:lang w:val="id_ID" w:bidi="id_ID"/>
        </w:rPr>
        <w:t>Raja Ahasyweros mengusir Ratu Wasti karena dia menolak mematuhi perintah untuk datang ke pesta makan malam dan memamerkan kecantikannya kepada tamu-tamunya yang sedang mabuk.</w:t>
      </w:r>
    </w:p>
    <w:p>
      <w:pPr>
        <w:pStyle w:val="ListBullet"/>
        <w:spacing w:line="240" w:lineRule="auto"/>
        <w:ind w:left="720"/>
      </w:pPr>
      <w:r>
        <w:rPr>
          <w:lang w:val="id_ID" w:bidi="id_ID"/>
        </w:rPr>
      </w:r>
      <w:r>
        <w:rPr>
          <w:lang w:val="id_ID" w:bidi="id_ID"/>
        </w:rPr>
        <w:t>Akibatnya, pencarian dilakukan untuk menemukan ratu baru, dan akhirnya Ester dipilih menjadi istri baru dari sang raja.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Ester</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Ester 1:9–11</w:t>
        </w:r>
      </w:hyperlink>
    </w:p>
    <w:p>
      <w:pPr>
        <w:pStyle w:val="ListBullet"/>
        <w:spacing w:line="240" w:lineRule="auto"/>
        <w:ind w:left="720"/>
      </w:pPr>
      <w:r>
        <w:rPr>
          <w:lang w:val="id_ID" w:bidi="id_ID"/>
        </w:rPr>
      </w:r>
      <w:hyperlink r:id="rId32">
        <w:r>
          <w:rPr>
            <w:lang w:val="id_ID" w:bidi="id_ID"/>
          </w:rPr>
          <w:rPr>
            <w:color w:val="0000EE"/>
            <w:u w:val="single"/>
          </w:rPr>
          <w:t>Ester 2:1–2</w:t>
        </w:r>
      </w:hyperlink>
    </w:p>
    <w:p>
      <w:pPr>
        <w:pStyle w:val="ListBullet"/>
        <w:spacing w:line="240" w:lineRule="auto"/>
        <w:ind w:left="720"/>
      </w:pPr>
      <w:r>
        <w:rPr>
          <w:lang w:val="id_ID" w:bidi="id_ID"/>
        </w:rPr>
      </w:r>
      <w:hyperlink r:id="rId33">
        <w:r>
          <w:rPr>
            <w:lang w:val="id_ID" w:bidi="id_ID"/>
          </w:rPr>
          <w:rPr>
            <w:color w:val="0000EE"/>
            <w:u w:val="single"/>
          </w:rPr>
          <w:t>Ester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H2060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Dan12:1-Dan12:2" TargetMode="External"/><Relationship Id="rId15" Type="http://schemas.openxmlformats.org/officeDocument/2006/relationships/hyperlink" Target="https://ref.ly/Mark11:11" TargetMode="External"/><Relationship Id="rId16" Type="http://schemas.openxmlformats.org/officeDocument/2006/relationships/hyperlink" Target="https://ref.ly/Matt8:29" TargetMode="External"/><Relationship Id="rId17" Type="http://schemas.openxmlformats.org/officeDocument/2006/relationships/hyperlink" Target="https://ref.ly/Rev14:15" TargetMode="External"/><Relationship Id="rId18" Type="http://schemas.openxmlformats.org/officeDocument/2006/relationships/hyperlink" Target="https://ref.ly/Luke12:37-Luke12:38" TargetMode="External"/><Relationship Id="rId19" Type="http://schemas.openxmlformats.org/officeDocument/2006/relationships/hyperlink" Target="https://ref.ly/Mark6:48-Mark6:50" TargetMode="External"/><Relationship Id="rId20" Type="http://schemas.openxmlformats.org/officeDocument/2006/relationships/hyperlink" Target="https://ref.ly/Matt14:25-Matt14:27" TargetMode="External"/><Relationship Id="rId21" Type="http://schemas.openxmlformats.org/officeDocument/2006/relationships/hyperlink" Target="https://ref.ly/Acts7:9-Acts7:10" TargetMode="External"/><Relationship Id="rId22" Type="http://schemas.openxmlformats.org/officeDocument/2006/relationships/hyperlink" Target="https://ref.ly/Acts23:22" TargetMode="External"/><Relationship Id="rId23" Type="http://schemas.openxmlformats.org/officeDocument/2006/relationships/hyperlink" Target="https://ref.ly/Acts26:30" TargetMode="External"/><Relationship Id="rId24" Type="http://schemas.openxmlformats.org/officeDocument/2006/relationships/hyperlink" Target="https://ref.ly/Mark13:9-Mark13:10" TargetMode="External"/><Relationship Id="rId25" Type="http://schemas.openxmlformats.org/officeDocument/2006/relationships/hyperlink" Target="https://ref.ly/Matt10:18" TargetMode="External"/><Relationship Id="rId26" Type="http://schemas.openxmlformats.org/officeDocument/2006/relationships/hyperlink" Target="https://ref.ly/Matt27:1-Matt27:2" TargetMode="External"/><Relationship Id="rId27" Type="http://schemas.openxmlformats.org/officeDocument/2006/relationships/hyperlink" Target="https://ref.ly/Acts21:39-Acts21:40" TargetMode="External"/><Relationship Id="rId28" Type="http://schemas.openxmlformats.org/officeDocument/2006/relationships/hyperlink" Target="https://ref.ly/Isa3:3" TargetMode="External"/><Relationship Id="rId29" Type="http://schemas.openxmlformats.org/officeDocument/2006/relationships/hyperlink" Target="https://ref.ly/Luke15:15" TargetMode="External"/><Relationship Id="rId30" Type="http://schemas.openxmlformats.org/officeDocument/2006/relationships/hyperlink" Target="https://ref.ly/Luke19:14" TargetMode="External"/><Relationship Id="rId31" Type="http://schemas.openxmlformats.org/officeDocument/2006/relationships/hyperlink" Target="https://ref.ly/Esth1:9-Esth1:11" TargetMode="External"/><Relationship Id="rId32" Type="http://schemas.openxmlformats.org/officeDocument/2006/relationships/hyperlink" Target="https://ref.ly/Esth2:1-Esth2:2" TargetMode="External"/><Relationship Id="rId33"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