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 दिलानेवाले</w:t>
      </w:r>
      <w:r>
        <w:rPr>
          <w:lang w:val="hi_IN" w:bidi="hi_IN"/>
        </w:rPr>
      </w:r>
    </w:p>
    <w:p>
      <w:pPr>
        <w:pStyle w:val="Heading3"/>
      </w:pPr>
      <w:r>
        <w:rPr>
          <w:lang w:val="hi_IN" w:bidi="hi_IN"/>
        </w:rPr>
        <w:t>परिभाषा:</w:t>
      </w:r>
    </w:p>
    <w:p>
      <w:pPr/>
      <w:r>
        <w:rPr>
          <w:lang w:val="hi_IN" w:bidi="hi_IN"/>
        </w:rPr>
      </w:r>
      <w:r>
        <w:rPr>
          <w:lang w:val="hi_IN" w:bidi="hi_IN"/>
        </w:rPr>
        <w:t>“स्मरण दिलानेवाले” अर्थात कोई कार्य या वस्तु जो किसी का या किसी बात का स्मरण कराती है।</w:t>
      </w:r>
    </w:p>
    <w:p>
      <w:pPr>
        <w:pStyle w:val="ListBullet"/>
        <w:spacing w:line="240" w:lineRule="auto"/>
        <w:ind w:left="720"/>
      </w:pPr>
      <w:r>
        <w:rPr>
          <w:lang w:val="hi_IN" w:bidi="hi_IN"/>
        </w:rPr>
      </w:r>
      <w:r>
        <w:rPr>
          <w:lang w:val="hi_IN" w:bidi="hi_IN"/>
        </w:rP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Pr>
          <w:lang w:val="hi_IN" w:bidi="hi_IN"/>
        </w:rPr>
      </w:r>
      <w:r>
        <w:rPr>
          <w:lang w:val="hi_IN" w:bidi="hi_IN"/>
        </w:rPr>
        <w:t>पुराने नियम में भेंट चढ़ाई जाती थी कि इस्राएल स्मरण रखे कि परमेश्वर ने उनके लिए क्या किया।</w:t>
      </w:r>
    </w:p>
    <w:p>
      <w:pPr>
        <w:pStyle w:val="ListBullet"/>
        <w:spacing w:line="240" w:lineRule="auto"/>
        <w:ind w:left="720"/>
      </w:pPr>
      <w:r>
        <w:rPr>
          <w:lang w:val="hi_IN" w:bidi="hi_IN"/>
        </w:rPr>
      </w:r>
      <w:r>
        <w:rPr>
          <w:lang w:val="hi_IN" w:bidi="hi_IN"/>
        </w:rP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Pr>
          <w:lang w:val="hi_IN" w:bidi="hi_IN"/>
        </w:rPr>
      </w:r>
      <w:r>
        <w:rPr>
          <w:lang w:val="hi_IN" w:bidi="hi_IN"/>
        </w:rP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“सदाकालीन स्मृति” हो सकता है।</w:t>
      </w:r>
    </w:p>
    <w:p>
      <w:pPr>
        <w:pStyle w:val="ListBullet"/>
        <w:spacing w:line="240" w:lineRule="auto"/>
        <w:ind w:left="720"/>
      </w:pPr>
      <w:r>
        <w:rPr>
          <w:lang w:val="hi_IN" w:bidi="hi_IN"/>
        </w:rPr>
      </w:r>
      <w:r>
        <w:rPr>
          <w:lang w:val="hi_IN" w:bidi="hi_IN"/>
        </w:rPr>
        <w:t>“स्मरण के पत्थर” का अनुवाद “उन्हें स्मरण कराने के लिए पत्थर”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10:3–6</w:t>
        </w:r>
      </w:hyperlink>
    </w:p>
    <w:p>
      <w:pPr>
        <w:pStyle w:val="ListBullet"/>
        <w:spacing w:line="240" w:lineRule="auto"/>
        <w:ind w:left="720"/>
      </w:pPr>
      <w:r>
        <w:rPr>
          <w:lang w:val="hi_IN" w:bidi="hi_IN"/>
        </w:rPr>
      </w:r>
      <w:hyperlink r:id="rId14">
        <w:r>
          <w:rPr>
            <w:lang w:val="hi_IN" w:bidi="hi_IN"/>
          </w:rPr>
          <w:rPr>
            <w:color w:val="0000EE"/>
            <w:u w:val="single"/>
          </w:rPr>
          <w:t>निर्गमन 12:12–14</w:t>
        </w:r>
      </w:hyperlink>
    </w:p>
    <w:p>
      <w:pPr>
        <w:pStyle w:val="ListBullet"/>
        <w:spacing w:line="240" w:lineRule="auto"/>
        <w:ind w:left="720"/>
      </w:pPr>
      <w:r>
        <w:rPr>
          <w:lang w:val="hi_IN" w:bidi="hi_IN"/>
        </w:rPr>
      </w:r>
      <w:hyperlink r:id="rId15">
        <w:r>
          <w:rPr>
            <w:lang w:val="hi_IN" w:bidi="hi_IN"/>
          </w:rPr>
          <w:rPr>
            <w:color w:val="0000EE"/>
            <w:u w:val="single"/>
          </w:rPr>
          <w:t>यशायाह 66:3</w:t>
        </w:r>
      </w:hyperlink>
    </w:p>
    <w:p>
      <w:pPr>
        <w:pStyle w:val="ListBullet"/>
        <w:spacing w:line="240" w:lineRule="auto"/>
        <w:ind w:left="720"/>
      </w:pPr>
      <w:r>
        <w:rPr>
          <w:lang w:val="hi_IN" w:bidi="hi_IN"/>
        </w:rPr>
      </w:r>
      <w:hyperlink r:id="rId16">
        <w:r>
          <w:rPr>
            <w:lang w:val="hi_IN" w:bidi="hi_IN"/>
          </w:rPr>
          <w:rPr>
            <w:color w:val="0000EE"/>
            <w:u w:val="single"/>
          </w:rPr>
          <w:t>यहोशू 04:6–7</w:t>
        </w:r>
      </w:hyperlink>
    </w:p>
    <w:p>
      <w:pPr>
        <w:pStyle w:val="ListBullet"/>
        <w:spacing w:line="240" w:lineRule="auto"/>
        <w:ind w:left="720"/>
      </w:pPr>
      <w:r>
        <w:rPr>
          <w:lang w:val="hi_IN" w:bidi="hi_IN"/>
        </w:rPr>
      </w:r>
      <w:hyperlink r:id="rId17">
        <w:r>
          <w:rPr>
            <w:lang w:val="hi_IN" w:bidi="hi_IN"/>
          </w:rPr>
          <w:rPr>
            <w:color w:val="0000EE"/>
            <w:u w:val="single"/>
          </w:rPr>
          <w:t>लैव्यव्यवस्था 23:23–25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H2142, H2146, G3422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Acts10:6" TargetMode="External"/><Relationship Id="rId14" Type="http://schemas.openxmlformats.org/officeDocument/2006/relationships/hyperlink" Target="https://ref.ly/Exod12:12-Exod12:14" TargetMode="External"/><Relationship Id="rId15" Type="http://schemas.openxmlformats.org/officeDocument/2006/relationships/hyperlink" Target="https://ref.ly/Isa66:3" TargetMode="External"/><Relationship Id="rId16" Type="http://schemas.openxmlformats.org/officeDocument/2006/relationships/hyperlink" Target="https://ref.ly/Josh4:6-Josh4:7" TargetMode="External"/><Relationship Id="rId17" Type="http://schemas.openxmlformats.org/officeDocument/2006/relationships/hyperlink" Target="https://ref.ly/Lev23:23-Lev2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