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r>
        <w:rPr>
          <w:lang w:val="hi_IN" w:bidi="hi_IN"/>
        </w:rPr>
        <w:t>2 थिस्सलुनीकियों 1:1</w:t>
      </w:r>
    </w:p>
    <w:p>
      <w:pPr>
        <w:pStyle w:val="ListBullet"/>
        <w:spacing w:line="240" w:lineRule="auto"/>
        <w:ind w:left="720"/>
      </w:pPr>
      <w:r>
        <w:rPr>
          <w:lang w:val="hi_IN" w:bidi="hi_IN"/>
        </w:rPr>
      </w:r>
      <w:r>
        <w:rPr>
          <w:lang w:val="hi_IN" w:bidi="hi_IN"/>
        </w:rPr>
        <w:t>2 तीमु. 4:9</w:t>
      </w:r>
    </w:p>
    <w:p>
      <w:pPr>
        <w:pStyle w:val="ListBullet"/>
        <w:spacing w:line="240" w:lineRule="auto"/>
        <w:ind w:left="720"/>
      </w:pPr>
      <w:r>
        <w:rPr>
          <w:lang w:val="hi_IN" w:bidi="hi_IN"/>
        </w:rPr>
      </w:r>
      <w:r>
        <w:rPr>
          <w:lang w:val="hi_IN" w:bidi="hi_IN"/>
        </w:rPr>
        <w:t>प्रे.का. 17:1</w:t>
      </w:r>
    </w:p>
    <w:p>
      <w:pPr>
        <w:pStyle w:val="ListBullet"/>
        <w:spacing w:line="240" w:lineRule="auto"/>
        <w:ind w:left="720"/>
      </w:pPr>
      <w:r>
        <w:rPr>
          <w:lang w:val="hi_IN" w:bidi="hi_IN"/>
        </w:rPr>
      </w:r>
      <w:r>
        <w:rPr>
          <w:lang w:val="hi_IN" w:bidi="hi_IN"/>
        </w:rPr>
        <w:t>फिलिप्पियों 4:14–17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यूहन्ना 11:15–16</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मरकुस 3:17–19</w:t>
      </w:r>
    </w:p>
    <w:p>
      <w:pPr>
        <w:pStyle w:val="ListBullet"/>
        <w:spacing w:line="240" w:lineRule="auto"/>
        <w:ind w:left="720"/>
      </w:pPr>
      <w:r>
        <w:rPr>
          <w:lang w:val="hi_IN" w:bidi="hi_IN"/>
        </w:rPr>
      </w:r>
      <w:r>
        <w:rPr>
          <w:lang w:val="hi_IN" w:bidi="hi_IN"/>
        </w:rPr>
        <w:t>मत्ती 10:2–4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