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2 Rois 3.15–17</w:t>
        </w:r>
      </w:hyperlink>
    </w:p>
    <w:p>
      <w:pPr>
        <w:pStyle w:val="ListBullet"/>
        <w:spacing w:line="240" w:lineRule="auto"/>
        <w:ind w:left="720"/>
      </w:pPr>
      <w:r>
        <w:rPr>
          <w:lang w:val="fr_FR" w:bidi="fr_FR"/>
        </w:rPr>
      </w:r>
      <w:hyperlink r:id="rId14">
        <w:r>
          <w:rPr>
            <w:lang w:val="fr_FR" w:bidi="fr_FR"/>
          </w:rPr>
          <w:rPr>
            <w:color w:val="0000EE"/>
            <w:u w:val="single"/>
          </w:rPr>
          <w:t>Genèse 30.29</w:t>
        </w:r>
      </w:hyperlink>
    </w:p>
    <w:p>
      <w:pPr>
        <w:pStyle w:val="ListBullet"/>
        <w:spacing w:line="240" w:lineRule="auto"/>
        <w:ind w:left="720"/>
      </w:pPr>
      <w:r>
        <w:rPr>
          <w:lang w:val="fr_FR" w:bidi="fr_FR"/>
        </w:rPr>
      </w:r>
      <w:hyperlink r:id="rId15">
        <w:r>
          <w:rPr>
            <w:lang w:val="fr_FR" w:bidi="fr_FR"/>
          </w:rPr>
          <w:rPr>
            <w:color w:val="0000EE"/>
            <w:u w:val="single"/>
          </w:rPr>
          <w:t>Josué 1.14–15</w:t>
        </w:r>
      </w:hyperlink>
    </w:p>
    <w:p>
      <w:pPr>
        <w:pStyle w:val="ListBullet"/>
        <w:spacing w:line="240" w:lineRule="auto"/>
        <w:ind w:left="720"/>
      </w:pPr>
      <w:r>
        <w:rPr>
          <w:lang w:val="fr_FR" w:bidi="fr_FR"/>
        </w:rPr>
      </w:r>
      <w:hyperlink r:id="rId16">
        <w:r>
          <w:rPr>
            <w:lang w:val="fr_FR" w:bidi="fr_FR"/>
          </w:rPr>
          <w:rPr>
            <w:color w:val="0000EE"/>
            <w:u w:val="single"/>
          </w:rPr>
          <w:t>Néhémie 9.36–37</w:t>
        </w:r>
      </w:hyperlink>
    </w:p>
    <w:p>
      <w:pPr>
        <w:pStyle w:val="ListBullet"/>
        <w:spacing w:line="240" w:lineRule="auto"/>
        <w:ind w:left="720"/>
      </w:pPr>
      <w:r>
        <w:rPr>
          <w:lang w:val="fr_FR" w:bidi="fr_FR"/>
        </w:rPr>
      </w:r>
      <w:hyperlink r:id="rId17">
        <w:r>
          <w:rPr>
            <w:lang w:val="fr_FR" w:bidi="fr_FR"/>
          </w:rPr>
          <w:rPr>
            <w:color w:val="0000EE"/>
            <w:u w:val="single"/>
          </w:rPr>
          <w:t>Nombres 3.41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