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थिस्सलुनिके</w:t>
      </w:r>
      <w:r>
        <w:rPr>
          <w:lang w:val="hi_IN" w:bidi="hi_IN"/>
        </w:rPr>
      </w:r>
    </w:p>
    <w:p>
      <w:pPr>
        <w:pStyle w:val="Heading3"/>
      </w:pPr>
      <w:r>
        <w:rPr>
          <w:lang w:val="hi_IN" w:bidi="hi_IN"/>
        </w:rPr>
        <w:t>तथ्य:</w:t>
      </w:r>
    </w:p>
    <w:p>
      <w:pPr/>
      <w:r>
        <w:rPr>
          <w:lang w:val="hi_IN" w:bidi="hi_IN"/>
        </w:rPr>
      </w:r>
      <w:r>
        <w:rPr>
          <w:lang w:val="hi_IN" w:bidi="hi_IN"/>
        </w:rP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Pr>
          <w:lang w:val="hi_IN" w:bidi="hi_IN"/>
        </w:rPr>
      </w:r>
      <w:r>
        <w:rPr>
          <w:lang w:val="hi_IN" w:bidi="hi_IN"/>
        </w:rP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Pr>
          <w:lang w:val="hi_IN" w:bidi="hi_IN"/>
        </w:rPr>
      </w:r>
      <w:r>
        <w:rPr>
          <w:lang w:val="hi_IN" w:bidi="hi_IN"/>
        </w:rP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Pr>
          <w:lang w:val="hi_IN" w:bidi="hi_IN"/>
        </w:rPr>
      </w:r>
      <w:r>
        <w:rPr>
          <w:lang w:val="hi_IN" w:bidi="hi_IN"/>
        </w:rPr>
        <w:t>पौलुस ने थिस्सलुनिके की कलीसिया को दो पत्र लिखे थे। ये दोनों पत्र (पहला थिस्सलुनीकियों और दूसरा थिस्सलुनीकियों) नये नियम में संग्रहित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hyperlink r:id="rId13">
        <w:r>
          <w:rPr>
            <w:lang w:val="hi_IN" w:bidi="hi_IN"/>
          </w:rPr>
          <w:rPr>
            <w:color w:val="0000EE"/>
            <w:u w:val="single"/>
          </w:rPr>
          <w:t>2 थिस्सलुनीकियों 1:1</w:t>
        </w:r>
      </w:hyperlink>
    </w:p>
    <w:p>
      <w:pPr>
        <w:pStyle w:val="ListBullet"/>
        <w:spacing w:line="240" w:lineRule="auto"/>
        <w:ind w:left="720"/>
      </w:pPr>
      <w:r>
        <w:rPr>
          <w:lang w:val="hi_IN" w:bidi="hi_IN"/>
        </w:rPr>
      </w:r>
      <w:hyperlink r:id="rId14">
        <w:r>
          <w:rPr>
            <w:lang w:val="hi_IN" w:bidi="hi_IN"/>
          </w:rPr>
          <w:rPr>
            <w:color w:val="0000EE"/>
            <w:u w:val="single"/>
          </w:rPr>
          <w:t>2 तीमु. 4:9</w:t>
        </w:r>
      </w:hyperlink>
    </w:p>
    <w:p>
      <w:pPr>
        <w:pStyle w:val="ListBullet"/>
        <w:spacing w:line="240" w:lineRule="auto"/>
        <w:ind w:left="720"/>
      </w:pPr>
      <w:r>
        <w:rPr>
          <w:lang w:val="hi_IN" w:bidi="hi_IN"/>
        </w:rPr>
      </w:r>
      <w:hyperlink r:id="rId15">
        <w:r>
          <w:rPr>
            <w:lang w:val="hi_IN" w:bidi="hi_IN"/>
          </w:rPr>
          <w:rPr>
            <w:color w:val="0000EE"/>
            <w:u w:val="single"/>
          </w:rPr>
          <w:t>प्रे.का. 17:1</w:t>
        </w:r>
      </w:hyperlink>
    </w:p>
    <w:p>
      <w:pPr>
        <w:pStyle w:val="ListBullet"/>
        <w:spacing w:line="240" w:lineRule="auto"/>
        <w:ind w:left="720"/>
      </w:pPr>
      <w:r>
        <w:rPr>
          <w:lang w:val="hi_IN" w:bidi="hi_IN"/>
        </w:rPr>
      </w:r>
      <w:hyperlink r:id="rId16">
        <w:r>
          <w:rPr>
            <w:lang w:val="hi_IN" w:bidi="hi_IN"/>
          </w:rPr>
          <w:rPr>
            <w:color w:val="0000EE"/>
            <w:u w:val="single"/>
          </w:rPr>
          <w:t>फिलिप्पियों 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G2331, G2332</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pStyle w:val="Heading3"/>
      </w:pPr>
      <w:r>
        <w:rPr>
          <w:lang w:val="hi_IN" w:bidi="hi_IN"/>
        </w:rPr>
        <w:t>तथ्य:</w:t>
      </w:r>
    </w:p>
    <w:p>
      <w:pPr/>
      <w:r>
        <w:rPr>
          <w:lang w:val="hi_IN" w:bidi="hi_IN"/>
        </w:rPr>
      </w:r>
      <w:r>
        <w:rPr>
          <w:lang w:val="hi_IN" w:bidi="hi_IN"/>
        </w:rPr>
        <w:t>थोमा यीशु के बारह चेलों में से एक था जो आगे चलकर प्रेरित कहलाए। उसे “दिदुमुस” भी कहा गया था,जिसका अर्थ है "जुड़वा।"</w:t>
      </w:r>
    </w:p>
    <w:p>
      <w:pPr>
        <w:pStyle w:val="ListBullet"/>
        <w:spacing w:line="240" w:lineRule="auto"/>
        <w:ind w:left="720"/>
      </w:pPr>
      <w:r>
        <w:rPr>
          <w:lang w:val="hi_IN" w:bidi="hi_IN"/>
        </w:rPr>
      </w:r>
      <w:r>
        <w:rPr>
          <w:lang w:val="hi_IN" w:bidi="hi_IN"/>
        </w:rP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Pr>
          <w:lang w:val="hi_IN" w:bidi="hi_IN"/>
        </w:rPr>
      </w:r>
      <w:r>
        <w:rPr>
          <w:lang w:val="hi_IN" w:bidi="hi_IN"/>
        </w:rPr>
        <w:t>यीशु के मृत्यु और जी उठने के बाद, थोमा ने कहाँ जब तक वह यीशु के घावों को छूकर न देखें तब तक विश्वास नहीं करेगा की यीशु वास्तव में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परमेश्वर पिता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प्रे.का. 1:12–14</w:t>
        </w:r>
      </w:hyperlink>
    </w:p>
    <w:p>
      <w:pPr>
        <w:pStyle w:val="ListBullet"/>
        <w:spacing w:line="240" w:lineRule="auto"/>
        <w:ind w:left="720"/>
      </w:pPr>
      <w:r>
        <w:rPr>
          <w:lang w:val="hi_IN" w:bidi="hi_IN"/>
        </w:rPr>
      </w:r>
      <w:hyperlink r:id="rId18">
        <w:r>
          <w:rPr>
            <w:lang w:val="hi_IN" w:bidi="hi_IN"/>
          </w:rPr>
          <w:rPr>
            <w:color w:val="0000EE"/>
            <w:u w:val="single"/>
          </w:rPr>
          <w:t>यूहन्ना 11:15–16</w:t>
        </w:r>
      </w:hyperlink>
    </w:p>
    <w:p>
      <w:pPr>
        <w:pStyle w:val="ListBullet"/>
        <w:spacing w:line="240" w:lineRule="auto"/>
        <w:ind w:left="720"/>
      </w:pPr>
      <w:r>
        <w:rPr>
          <w:lang w:val="hi_IN" w:bidi="hi_IN"/>
        </w:rPr>
      </w:r>
      <w:hyperlink r:id="rId19">
        <w:r>
          <w:rPr>
            <w:lang w:val="hi_IN" w:bidi="hi_IN"/>
          </w:rPr>
          <w:rPr>
            <w:color w:val="0000EE"/>
            <w:u w:val="single"/>
          </w:rPr>
          <w:t>लूका 6:14–16</w:t>
        </w:r>
      </w:hyperlink>
    </w:p>
    <w:p>
      <w:pPr>
        <w:pStyle w:val="ListBullet"/>
        <w:spacing w:line="240" w:lineRule="auto"/>
        <w:ind w:left="720"/>
      </w:pPr>
      <w:r>
        <w:rPr>
          <w:lang w:val="hi_IN" w:bidi="hi_IN"/>
        </w:rPr>
      </w:r>
      <w:hyperlink r:id="rId20">
        <w:r>
          <w:rPr>
            <w:lang w:val="hi_IN" w:bidi="hi_IN"/>
          </w:rPr>
          <w:rPr>
            <w:color w:val="0000EE"/>
            <w:u w:val="single"/>
          </w:rPr>
          <w:t>मरकुस 3:17–19</w:t>
        </w:r>
      </w:hyperlink>
    </w:p>
    <w:p>
      <w:pPr>
        <w:pStyle w:val="ListBullet"/>
        <w:spacing w:line="240" w:lineRule="auto"/>
        <w:ind w:left="720"/>
      </w:pPr>
      <w:r>
        <w:rPr>
          <w:lang w:val="hi_IN" w:bidi="hi_IN"/>
        </w:rPr>
      </w:r>
      <w:hyperlink r:id="rId21">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2Tim0:0" TargetMode="External"/><Relationship Id="rId15" Type="http://schemas.openxmlformats.org/officeDocument/2006/relationships/hyperlink" Target="https://ref.ly/Acts17:1" TargetMode="External"/><Relationship Id="rId16" Type="http://schemas.openxmlformats.org/officeDocument/2006/relationships/hyperlink" Target="https://ref.ly/Phil4:14-Phil4:17" TargetMode="External"/><Relationship Id="rId17" Type="http://schemas.openxmlformats.org/officeDocument/2006/relationships/hyperlink" Target="https://ref.ly/Acts1:12-Acts1:14" TargetMode="External"/><Relationship Id="rId18" Type="http://schemas.openxmlformats.org/officeDocument/2006/relationships/hyperlink" Target="https://ref.ly/John11:15-John11:16" TargetMode="External"/><Relationship Id="rId19" Type="http://schemas.openxmlformats.org/officeDocument/2006/relationships/hyperlink" Target="https://ref.ly/Luke6:14-Luke6:16" TargetMode="External"/><Relationship Id="rId20" Type="http://schemas.openxmlformats.org/officeDocument/2006/relationships/hyperlink" Target="https://ref.ly/Mark3:17-Mark3:19" TargetMode="External"/><Relationship Id="rId21"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