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10:3–6</w:t>
        </w:r>
      </w:hyperlink>
    </w:p>
    <w:p>
      <w:pPr>
        <w:pStyle w:val="ListBullet"/>
        <w:spacing w:line="240" w:lineRule="auto"/>
        <w:ind w:left="720"/>
      </w:pPr>
      <w:r>
        <w:rPr>
          <w:lang w:val="hi_IN" w:bidi="hi_IN"/>
        </w:rPr>
      </w:r>
      <w:hyperlink r:id="rId14">
        <w:r>
          <w:rPr>
            <w:lang w:val="hi_IN" w:bidi="hi_IN"/>
          </w:rPr>
          <w:rPr>
            <w:color w:val="0000EE"/>
            <w:u w:val="single"/>
          </w:rPr>
          <w:t>निर्गमन 12:12–14</w:t>
        </w:r>
      </w:hyperlink>
    </w:p>
    <w:p>
      <w:pPr>
        <w:pStyle w:val="ListBullet"/>
        <w:spacing w:line="240" w:lineRule="auto"/>
        <w:ind w:left="720"/>
      </w:pPr>
      <w:r>
        <w:rPr>
          <w:lang w:val="hi_IN" w:bidi="hi_IN"/>
        </w:rPr>
      </w:r>
      <w:hyperlink r:id="rId15">
        <w:r>
          <w:rPr>
            <w:lang w:val="hi_IN" w:bidi="hi_IN"/>
          </w:rPr>
          <w:rPr>
            <w:color w:val="0000EE"/>
            <w:u w:val="single"/>
          </w:rPr>
          <w:t>यशायाह 66:3</w:t>
        </w:r>
      </w:hyperlink>
    </w:p>
    <w:p>
      <w:pPr>
        <w:pStyle w:val="ListBullet"/>
        <w:spacing w:line="240" w:lineRule="auto"/>
        <w:ind w:left="720"/>
      </w:pPr>
      <w:r>
        <w:rPr>
          <w:lang w:val="hi_IN" w:bidi="hi_IN"/>
        </w:rPr>
      </w:r>
      <w:hyperlink r:id="rId16">
        <w:r>
          <w:rPr>
            <w:lang w:val="hi_IN" w:bidi="hi_IN"/>
          </w:rPr>
          <w:rPr>
            <w:color w:val="0000EE"/>
            <w:u w:val="single"/>
          </w:rPr>
          <w:t>यहोशू 04:6–7</w:t>
        </w:r>
      </w:hyperlink>
    </w:p>
    <w:p>
      <w:pPr>
        <w:pStyle w:val="ListBullet"/>
        <w:spacing w:line="240" w:lineRule="auto"/>
        <w:ind w:left="720"/>
      </w:pPr>
      <w:r>
        <w:rPr>
          <w:lang w:val="hi_IN" w:bidi="hi_IN"/>
        </w:rPr>
      </w:r>
      <w:hyperlink r:id="rId17">
        <w:r>
          <w:rPr>
            <w:lang w:val="hi_IN" w:bidi="hi_IN"/>
          </w:rPr>
          <w:rPr>
            <w:color w:val="0000EE"/>
            <w:u w:val="single"/>
          </w:rPr>
          <w:t>लैव्यव्यवस्था 23:23–25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Acts10:6" TargetMode="External"/><Relationship Id="rId14" Type="http://schemas.openxmlformats.org/officeDocument/2006/relationships/hyperlink" Target="https://ref.ly/Exod12:12-Exod12:14" TargetMode="External"/><Relationship Id="rId15" Type="http://schemas.openxmlformats.org/officeDocument/2006/relationships/hyperlink" Target="https://ref.ly/Isa66:3" TargetMode="External"/><Relationship Id="rId16" Type="http://schemas.openxmlformats.org/officeDocument/2006/relationships/hyperlink" Target="https://ref.ly/Josh4:6-Josh4:7" TargetMode="External"/><Relationship Id="rId17"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