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Istilah Kunci (unfoldingWord)</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Istilah Kunci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Waktu</w:t>
      </w:r>
      <w:r>
        <w:rPr>
          <w:lang w:val="id_ID" w:bidi="id_ID"/>
        </w:rPr>
      </w:r>
    </w:p>
    <w:p>
      <w:pPr>
        <w:pStyle w:val="Heading3"/>
      </w:pPr>
      <w:r>
        <w:rPr>
          <w:lang w:val="id_ID" w:bidi="id_ID"/>
        </w:rPr>
        <w:t>Fakta-fakta:</w:t>
      </w:r>
    </w:p>
    <w:p>
      <w:pPr/>
      <w:r>
        <w:rPr>
          <w:lang w:val="id_ID" w:bidi="id_ID"/>
        </w:rPr>
      </w:r>
      <w:r>
        <w:rPr>
          <w:lang w:val="id_ID" w:bidi="id_ID"/>
        </w:rP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Pr>
          <w:lang w:val="id_ID" w:bidi="id_ID"/>
        </w:rPr>
      </w:r>
      <w:r>
        <w:rPr>
          <w:lang w:val="id_ID" w:bidi="id_ID"/>
        </w:rPr>
        <w:t>“Waktu” dapat berarti “acara” dalam frasa seperti “ketiga kalinya.” Ungkapan “berkali-kali” dapat berarti “pada banyak kesempatan.”</w:t>
      </w:r>
    </w:p>
    <w:p>
      <w:pPr>
        <w:pStyle w:val="ListBullet"/>
        <w:spacing w:line="240" w:lineRule="auto"/>
        <w:ind w:left="720"/>
      </w:pPr>
      <w:r>
        <w:rPr>
          <w:lang w:val="id_ID" w:bidi="id_ID"/>
        </w:rPr>
      </w:r>
      <w:r>
        <w:rPr>
          <w:lang w:val="id_ID" w:bidi="id_ID"/>
        </w:rPr>
        <w:t>Bergantung pada konteksnya, istilah “waktu” dapat diterjemahkan sebagai, “musim” atau “periode waktu” atau “momen” atau “peristiwa” atau “kejadian”.</w:t>
      </w:r>
    </w:p>
    <w:p>
      <w:pPr>
        <w:pStyle w:val="ListBullet"/>
        <w:spacing w:line="240" w:lineRule="auto"/>
        <w:ind w:left="720"/>
      </w:pPr>
      <w:r>
        <w:rPr>
          <w:lang w:val="id_ID" w:bidi="id_ID"/>
        </w:rPr>
      </w:r>
      <w:r>
        <w:rPr>
          <w:lang w:val="id_ID" w:bidi="id_ID"/>
        </w:rPr>
        <w:t>Ungkapan “waktu dan musim“ adalah ungkapan figuratif yang menyatakan ide yang sama dua kali. Ini juga dapat diterjemahkan sebagai “peristiwa tertentu yang terjadi dalam periode waktu tertentu.“ (Lihat: sepasang)</w:t>
      </w:r>
    </w:p>
    <w:p>
      <w:pPr/>
      <w:r>
        <w:rPr>
          <w:lang w:val="id_ID" w:bidi="id_ID"/>
        </w:rPr>
      </w:r>
      <w:r>
        <w:rPr>
          <w:lang w:val="id_ID" w:bidi="id_ID"/>
        </w:rPr>
        <w:t xml:space="preserve">(Lihat juga: </w:t>
      </w:r>
      <w:r>
        <w:rPr>
          <w:lang w:val="id_ID" w:bidi="id_ID"/>
        </w:rPr>
        <w:t>tahun</w:t>
      </w:r>
      <w:r>
        <w:rPr>
          <w:lang w:val="id_ID" w:bidi="id_ID"/>
        </w:rPr>
        <w:t xml:space="preserve">, </w:t>
      </w:r>
      <w:r>
        <w:rPr>
          <w:lang w:val="id_ID" w:bidi="id_ID"/>
        </w:rPr>
        <w:t>kesengsaraan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Kisah Para Rasul 1:7</w:t>
        </w:r>
      </w:hyperlink>
    </w:p>
    <w:p>
      <w:pPr>
        <w:pStyle w:val="ListBullet"/>
        <w:spacing w:line="240" w:lineRule="auto"/>
        <w:ind w:left="720"/>
      </w:pPr>
      <w:r>
        <w:rPr>
          <w:lang w:val="id_ID" w:bidi="id_ID"/>
        </w:rPr>
      </w:r>
      <w:hyperlink r:id="rId14">
        <w:r>
          <w:rPr>
            <w:lang w:val="id_ID" w:bidi="id_ID"/>
          </w:rPr>
          <w:rPr>
            <w:color w:val="0000EE"/>
            <w:u w:val="single"/>
          </w:rPr>
          <w:t>Daniel 12:1–2</w:t>
        </w:r>
      </w:hyperlink>
    </w:p>
    <w:p>
      <w:pPr>
        <w:pStyle w:val="ListBullet"/>
        <w:spacing w:line="240" w:lineRule="auto"/>
        <w:ind w:left="720"/>
      </w:pPr>
      <w:r>
        <w:rPr>
          <w:lang w:val="id_ID" w:bidi="id_ID"/>
        </w:rPr>
      </w:r>
      <w:hyperlink r:id="rId15">
        <w:r>
          <w:rPr>
            <w:lang w:val="id_ID" w:bidi="id_ID"/>
          </w:rPr>
          <w:rPr>
            <w:color w:val="0000EE"/>
            <w:u w:val="single"/>
          </w:rPr>
          <w:t>Markus 11:11</w:t>
        </w:r>
      </w:hyperlink>
    </w:p>
    <w:p>
      <w:pPr>
        <w:pStyle w:val="ListBullet"/>
        <w:spacing w:line="240" w:lineRule="auto"/>
        <w:ind w:left="720"/>
      </w:pPr>
      <w:r>
        <w:rPr>
          <w:lang w:val="id_ID" w:bidi="id_ID"/>
        </w:rPr>
      </w:r>
      <w:hyperlink r:id="rId16">
        <w:r>
          <w:rPr>
            <w:lang w:val="id_ID" w:bidi="id_ID"/>
          </w:rPr>
          <w:rPr>
            <w:color w:val="0000EE"/>
            <w:u w:val="single"/>
          </w:rPr>
          <w:t>Matius 8:29</w:t>
        </w:r>
      </w:hyperlink>
    </w:p>
    <w:p>
      <w:pPr>
        <w:pStyle w:val="ListBullet"/>
        <w:spacing w:line="240" w:lineRule="auto"/>
        <w:ind w:left="720"/>
      </w:pPr>
      <w:r>
        <w:rPr>
          <w:lang w:val="id_ID" w:bidi="id_ID"/>
        </w:rPr>
      </w:r>
      <w:r>
        <w:rPr>
          <w:lang w:val="id_ID" w:bidi="id_ID"/>
        </w:rPr>
        <w:t>Mazmur 68:28–29</w:t>
      </w:r>
    </w:p>
    <w:p>
      <w:pPr>
        <w:pStyle w:val="ListBullet"/>
        <w:spacing w:line="240" w:lineRule="auto"/>
        <w:ind w:left="720"/>
      </w:pPr>
      <w:r>
        <w:rPr>
          <w:lang w:val="id_ID" w:bidi="id_ID"/>
        </w:rPr>
      </w:r>
      <w:hyperlink r:id="rId17">
        <w:r>
          <w:rPr>
            <w:lang w:val="id_ID" w:bidi="id_ID"/>
          </w:rPr>
          <w:rPr>
            <w:color w:val="0000EE"/>
            <w:u w:val="single"/>
          </w:rPr>
          <w:t>Wahyu 14:15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id_ID" w:bidi="id_ID"/>
        </w:rPr>
      </w:r>
      <w:r>
        <w:rPr>
          <w:lang w:val="id_ID" w:bidi="id_ID"/>
        </w:rPr>
      </w:r>
    </w:p>
    <w:p>
      <w:pPr/>
      <w:r>
        <w:rPr>
          <w:lang w:val="id_ID" w:bidi="id_ID"/>
        </w:rPr>
      </w:r>
    </w:p>
    <w:p>
      <w:pPr>
        <w:pStyle w:val="Heading2"/>
      </w:pPr>
      <w:r>
        <w:rPr>
          <w:lang w:val="id_ID" w:bidi="id_ID"/>
        </w:rPr>
        <w:t>Waktu jaga (waktu secara alkitabiah)</w:t>
      </w:r>
      <w:r>
        <w:rPr>
          <w:lang w:val="id_ID" w:bidi="id_ID"/>
        </w:rPr>
      </w:r>
    </w:p>
    <w:p>
      <w:pPr>
        <w:pStyle w:val="Heading3"/>
      </w:pPr>
      <w:r>
        <w:rPr>
          <w:lang w:val="id_ID" w:bidi="id_ID"/>
        </w:rPr>
        <w:t>Definisi:</w:t>
      </w:r>
    </w:p>
    <w:p>
      <w:pPr/>
      <w:r>
        <w:rPr>
          <w:lang w:val="id_ID" w:bidi="id_ID"/>
        </w:rPr>
      </w:r>
      <w:r>
        <w:rPr>
          <w:lang w:val="id_ID" w:bidi="id_ID"/>
        </w:rPr>
        <w:t>Pada zaman Alkitab, “waktu jaga” adalah suatu periode waktu di malam hari di mana seorang penjaga atau penjaga kota bertugas berjaga-jaga jika ada bahaya dari musuh.</w:t>
      </w:r>
    </w:p>
    <w:p>
      <w:pPr>
        <w:pStyle w:val="ListBullet"/>
        <w:spacing w:line="240" w:lineRule="auto"/>
        <w:ind w:left="720"/>
      </w:pPr>
      <w:r>
        <w:rPr>
          <w:lang w:val="id_ID" w:bidi="id_ID"/>
        </w:rPr>
      </w:r>
      <w:r>
        <w:rPr>
          <w:lang w:val="id_ID" w:bidi="id_ID"/>
        </w:rP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Pr>
          <w:lang w:val="id_ID" w:bidi="id_ID"/>
        </w:rPr>
      </w:r>
      <w:r>
        <w:rPr>
          <w:lang w:val="id_ID" w:bidi="id_ID"/>
        </w:rP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Pr>
          <w:lang w:val="id_ID" w:bidi="id_ID"/>
        </w:rPr>
      </w:r>
      <w:r>
        <w:rPr>
          <w:lang w:val="id_ID" w:bidi="id_ID"/>
        </w:rPr>
        <w:t>Ini juga dapat diterjemahkan dengan ungkapan yang lebih umum seperti “larut malam” atau “tengah malam” atau “pagi sekali”, bergantung pada waktu jaga mana yang dimaksud.</w:t>
      </w:r>
    </w:p>
    <w:p>
      <w:pPr/>
      <w:r>
        <w:rPr>
          <w:lang w:val="id_ID" w:bidi="id_ID"/>
        </w:rPr>
      </w:r>
      <w:r>
        <w:rPr>
          <w:lang w:val="id_ID" w:bidi="id_ID"/>
        </w:rPr>
        <w:t xml:space="preserve">(Lihat juga: </w:t>
      </w:r>
      <w:r>
        <w:rPr>
          <w:lang w:val="id_ID" w:bidi="id_ID"/>
        </w:rPr>
        <w:t>jaga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8">
        <w:r>
          <w:rPr>
            <w:lang w:val="id_ID" w:bidi="id_ID"/>
          </w:rPr>
          <w:rPr>
            <w:color w:val="0000EE"/>
            <w:u w:val="single"/>
          </w:rPr>
          <w:t>Lukas 12:37–38</w:t>
        </w:r>
      </w:hyperlink>
    </w:p>
    <w:p>
      <w:pPr>
        <w:pStyle w:val="ListBullet"/>
        <w:spacing w:line="240" w:lineRule="auto"/>
        <w:ind w:left="720"/>
      </w:pPr>
      <w:r>
        <w:rPr>
          <w:lang w:val="id_ID" w:bidi="id_ID"/>
        </w:rPr>
      </w:r>
      <w:hyperlink r:id="rId19">
        <w:r>
          <w:rPr>
            <w:lang w:val="id_ID" w:bidi="id_ID"/>
          </w:rPr>
          <w:rPr>
            <w:color w:val="0000EE"/>
            <w:u w:val="single"/>
          </w:rPr>
          <w:t>Markus 6:48–50</w:t>
        </w:r>
      </w:hyperlink>
    </w:p>
    <w:p>
      <w:pPr>
        <w:pStyle w:val="ListBullet"/>
        <w:spacing w:line="240" w:lineRule="auto"/>
        <w:ind w:left="720"/>
      </w:pPr>
      <w:r>
        <w:rPr>
          <w:lang w:val="id_ID" w:bidi="id_ID"/>
        </w:rPr>
      </w:r>
      <w:hyperlink r:id="rId20">
        <w:r>
          <w:rPr>
            <w:lang w:val="id_ID" w:bidi="id_ID"/>
          </w:rPr>
          <w:rPr>
            <w:color w:val="0000EE"/>
            <w:u w:val="single"/>
          </w:rPr>
          <w:t>Matius 14:25–27</w:t>
        </w:r>
      </w:hyperlink>
    </w:p>
    <w:p>
      <w:pPr>
        <w:pStyle w:val="ListBullet"/>
        <w:spacing w:line="240" w:lineRule="auto"/>
        <w:ind w:left="720"/>
      </w:pPr>
      <w:r>
        <w:rPr>
          <w:lang w:val="id_ID" w:bidi="id_ID"/>
        </w:rPr>
      </w:r>
      <w:r>
        <w:rPr>
          <w:lang w:val="id_ID" w:bidi="id_ID"/>
        </w:rPr>
        <w:t>Mazmur 90:3–4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H0821, G54380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0:0" TargetMode="External"/><Relationship Id="rId14" Type="http://schemas.openxmlformats.org/officeDocument/2006/relationships/hyperlink" Target="https://ref.ly/Dan12:1-Dan12:2" TargetMode="External"/><Relationship Id="rId15" Type="http://schemas.openxmlformats.org/officeDocument/2006/relationships/hyperlink" Target="https://ref.ly/Mark11:11" TargetMode="External"/><Relationship Id="rId16" Type="http://schemas.openxmlformats.org/officeDocument/2006/relationships/hyperlink" Target="https://ref.ly/Matt8:29" TargetMode="External"/><Relationship Id="rId17" Type="http://schemas.openxmlformats.org/officeDocument/2006/relationships/hyperlink" Target="https://ref.ly/Rev14:15" TargetMode="External"/><Relationship Id="rId18" Type="http://schemas.openxmlformats.org/officeDocument/2006/relationships/hyperlink" Target="https://ref.ly/Luke12:37-Luke12:38" TargetMode="External"/><Relationship Id="rId19" Type="http://schemas.openxmlformats.org/officeDocument/2006/relationships/hyperlink" Target="https://ref.ly/Mark6:48-Mark6:50" TargetMode="External"/><Relationship Id="rId20" Type="http://schemas.openxmlformats.org/officeDocument/2006/relationships/hyperlink" Target="https://ref.ly/Matt14:25-Matt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