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Words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ઐ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ઐચ્છિકાર્પણ, ઐચ્છિકાર્પણો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ઐચ્છિકાર્પણ એ દેવને આપવામાં આવતું એક પ્રકારનું બલિદાન હતું કે જેને મૂસાના નિયમ દ્વારા કરવું જરૂરી નહોતું.</w:t>
        <w:br/>
      </w:r>
      <w:r>
        <w:rPr>
          <w:lang w:val="gu_IN" w:bidi="gu_IN"/>
        </w:rPr>
        <w:t>આ અર્પણ આપવું તે વ્યક્તિની પોતાની પસંદગીની બાબત હતી.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જો ઐચ્છિકાર્પણમાં એક પશુનું બલિદાન આપવાનું હતું, આ અર્પણ સ્વૈચ્છિક હતું તેથી થોડી ખામી વાળા પશુની પરવાનગી આપવામાં આવતી હતી.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ઈઝરાએલીઓ મિજબાનીના ઉજવણીના ભાગ તરીકે બલિદાન આપેલું પ્રાણી ખાતા.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જયારે ઐચ્છિકાર્પણ આપવામાં આવતું, ત્યારે તે ઈઝરાએલ માટે આનંદનું કારણ હતું જે બતાવે છે કે ફસલ સારી રહી છે જેથી લોકો પાસે ખોરાક પુષ્કળ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એઝરાનું પુસ્તક અલગ અલગ પ્રકારના ઐચ્છિકાર્પણ વર્ણવે છે કે જે મંદિરને ફરીથી બાંધવા માટે લાવવામાં આવ્યા હતા.</w:t>
        <w:br/>
      </w:r>
      <w:r>
        <w:rPr>
          <w:lang w:val="gu_IN" w:bidi="gu_IN"/>
        </w:rPr>
        <w:t>આ અર્પણમાં સોના અને ચાંદીના પૈસા, તેમજ વાટકીઓ અને સોના અને ચાંદીમાંથી બનાવેલી અન્ય વસ્તુઓનો સમાવેશ થાય છે.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જુઓ: </w:t>
      </w:r>
      <w:r>
        <w:rPr>
          <w:lang w:val="gu_IN" w:bidi="gu_IN"/>
        </w:rPr>
        <w:t>દહનાર્પણ</w:t>
      </w:r>
      <w:r>
        <w:rPr>
          <w:lang w:val="gu_IN" w:bidi="gu_IN"/>
        </w:rPr>
        <w:t xml:space="preserve">, </w:t>
      </w:r>
      <w:r>
        <w:rPr>
          <w:lang w:val="gu_IN" w:bidi="gu_IN"/>
        </w:rPr>
        <w:t>એઝરા</w:t>
      </w:r>
      <w:r>
        <w:rPr>
          <w:lang w:val="gu_IN" w:bidi="gu_IN"/>
        </w:rPr>
        <w:t xml:space="preserve">, </w:t>
      </w:r>
      <w:r>
        <w:rPr>
          <w:lang w:val="gu_IN" w:bidi="gu_IN"/>
        </w:rPr>
        <w:t>મિજબાની</w:t>
      </w:r>
      <w:r>
        <w:rPr>
          <w:lang w:val="gu_IN" w:bidi="gu_IN"/>
        </w:rPr>
        <w:t xml:space="preserve">, </w:t>
      </w:r>
      <w:r>
        <w:rPr>
          <w:lang w:val="gu_IN" w:bidi="gu_IN"/>
        </w:rPr>
        <w:t>ખાદ્યાર્પણ</w:t>
      </w:r>
      <w:r>
        <w:rPr>
          <w:lang w:val="gu_IN" w:bidi="gu_IN"/>
        </w:rPr>
        <w:t xml:space="preserve">, </w:t>
      </w:r>
      <w:r>
        <w:rPr>
          <w:lang w:val="gu_IN" w:bidi="gu_IN"/>
        </w:rPr>
        <w:t>દોષાર્થાર્પણ</w:t>
      </w:r>
      <w:r>
        <w:rPr>
          <w:lang w:val="gu_IN" w:bidi="gu_IN"/>
        </w:rPr>
        <w:t xml:space="preserve">, </w:t>
      </w:r>
      <w:r>
        <w:rPr>
          <w:lang w:val="gu_IN" w:bidi="gu_IN"/>
        </w:rPr>
        <w:t>કાયદો</w:t>
      </w:r>
      <w:r>
        <w:rPr>
          <w:lang w:val="gu_IN" w:bidi="gu_IN"/>
        </w:rPr>
        <w:t xml:space="preserve">, </w:t>
      </w:r>
      <w:r>
        <w:rPr>
          <w:lang w:val="gu_IN" w:bidi="gu_IN"/>
        </w:rPr>
        <w:t>પાપાર્થાર્પણ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બાઈબલની કલમો: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1 કાળવૃતાંત 29:6–7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2 કાળવૃતાંત 35:7–9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પુનર્નિયમ 12:17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નિર્ગમન 36:2–4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લેવીય 7:15–16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H5068, H5071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