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the-paycheck-gap"/>
    <w:p>
      <w:pPr>
        <w:pStyle w:val="Heading1"/>
      </w:pPr>
      <w:r>
        <w:t xml:space="preserve">The Paycheck Gap</w:t>
      </w:r>
    </w:p>
    <w:bookmarkStart w:id="20" w:name="X6b298d61031a49d14ef2af242840713f4192c83"/>
    <w:p>
      <w:pPr>
        <w:pStyle w:val="Heading2"/>
      </w:pPr>
      <w:r>
        <w:t xml:space="preserve">How to Turn Your Savings Into a Retirement Paycheck You Can Count On</w:t>
      </w:r>
    </w:p>
    <w:p>
      <w:pPr>
        <w:pStyle w:val="FirstParagraph"/>
      </w:pPr>
      <w:r>
        <w:t xml:space="preserve">Jordan Ellis</w:t>
      </w:r>
    </w:p>
    <w:p>
      <w:r>
        <w:br w:type="page"/>
      </w:r>
    </w:p>
    <w:p>
      <w:pPr>
        <w:pStyle w:val="BodyText"/>
      </w:pPr>
      <w:r>
        <w:t xml:space="preserve">Copyright © 2026 Jordan Ellis. All rights reserved.</w:t>
      </w:r>
    </w:p>
    <w:p>
      <w:pPr>
        <w:pStyle w:val="BodyText"/>
      </w:pPr>
      <w:r>
        <w:t xml:space="preserve">This book provides general educational information only. It is not individualized legal, tax, investment, insurance, or financial advice. Consult qualified professionals about your situation. Client stories are shared with permission, and names and identifying details have been changed. Examples are illustrations, not guarantees of results.</w:t>
      </w:r>
    </w:p>
    <w:p>
      <w:pPr>
        <w:pStyle w:val="BodyText"/>
      </w:pPr>
      <w:r>
        <w:t xml:space="preserve">[Advisor’s registration and firm disclosure, as approved by compliance.]</w:t>
      </w:r>
    </w:p>
    <w:p>
      <w:r>
        <w:br w:type="page"/>
      </w:r>
    </w:p>
    <w:bookmarkEnd w:id="20"/>
    <w:bookmarkStart w:id="24" w:name="how-to-use-this-book"/>
    <w:p>
      <w:pPr>
        <w:pStyle w:val="Heading2"/>
      </w:pPr>
      <w:r>
        <w:t xml:space="preserve">How to Use This Book</w:t>
      </w:r>
    </w:p>
    <w:p>
      <w:pPr>
        <w:pStyle w:val="FirstParagraph"/>
      </w:pPr>
      <w:r>
        <w:t xml:space="preserve">Every chapter ends with one worksheet and one small action. You will also find QR codes. Point your phone’s camera at one and it opens a printable copy of that worksheet. If you would rather type, the short web address is printed under every code.</w:t>
      </w:r>
    </w:p>
    <w:p>
      <w:pPr>
        <w:pStyle w:val="QR"/>
      </w:pPr>
      <w:r>
        <w:drawing>
          <wp:inline>
            <wp:extent cx="914400" cy="914400"/>
            <wp:effectExtent b="0" l="0" r="0" t="0"/>
            <wp:docPr descr="" title="" id="22" name="Picture"/>
            <a:graphic>
              <a:graphicData uri="http://schemas.openxmlformats.org/drawingml/2006/picture">
                <pic:pic>
                  <pic:nvPicPr>
                    <pic:cNvPr descr="qr/hub.png" id="23" name="Picture"/>
                    <pic:cNvPicPr>
                      <a:picLocks noChangeArrowheads="1" noChangeAspect="1"/>
                    </pic:cNvPicPr>
                  </pic:nvPicPr>
                  <pic:blipFill>
                    <a:blip r:embed="rId21"/>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bCs/>
          <w:b/>
        </w:rPr>
        <w:t xml:space="preserve">Scan for every worksheet in this book</w:t>
      </w:r>
      <w:r>
        <w:br/>
      </w:r>
      <w:r>
        <w:t xml:space="preserve">ellisretirement.example/go/book</w:t>
      </w:r>
    </w:p>
    <w:p>
      <w:r>
        <w:br w:type="page"/>
      </w:r>
    </w:p>
    <w:bookmarkEnd w:id="24"/>
    <w:bookmarkEnd w:id="25"/>
    <w:bookmarkStart w:id="26" w:name="introduction-the-number-and-the-paycheck"/>
    <w:p>
      <w:pPr>
        <w:pStyle w:val="Heading1"/>
      </w:pPr>
      <w:r>
        <w:t xml:space="preserve">Introduction: The Number and the Paycheck</w:t>
      </w:r>
    </w:p>
    <w:p>
      <w:pPr>
        <w:pStyle w:val="FirstParagraph"/>
      </w:pPr>
      <w:r>
        <w:t xml:space="preserve">Picture a couple at their kitchen table on a Sunday night. The statements are spread out in front of them. The number at the bottom is bigger than either of them ever expected to save.</w:t>
      </w:r>
    </w:p>
    <w:p>
      <w:pPr>
        <w:pStyle w:val="BodyText"/>
      </w:pPr>
      <w:r>
        <w:t xml:space="preserve">And they are still worried.</w:t>
      </w:r>
    </w:p>
    <w:p>
      <w:pPr>
        <w:pStyle w:val="BodyText"/>
      </w:pPr>
      <w:r>
        <w:t xml:space="preserve">She asks the question they have both been avoiding.</w:t>
      </w:r>
      <w:r>
        <w:t xml:space="preserve"> </w:t>
      </w:r>
      <w:r>
        <w:t xml:space="preserve">“</w:t>
      </w:r>
      <w:r>
        <w:t xml:space="preserve">So how much can we actually spend?</w:t>
      </w:r>
      <w:r>
        <w:t xml:space="preserve">”</w:t>
      </w:r>
    </w:p>
    <w:p>
      <w:pPr>
        <w:pStyle w:val="BodyText"/>
      </w:pPr>
      <w:r>
        <w:t xml:space="preserve">He doesn’t know. Neither does she. They have spent thirty years building a number. Nobody ever showed them how to turn it into a paycheck.</w:t>
      </w:r>
    </w:p>
    <w:p>
      <w:pPr>
        <w:pStyle w:val="BodyText"/>
      </w:pPr>
      <w:r>
        <w:t xml:space="preserve">That space between the number you saved and the paycheck you need has a name. I call it the Paycheck Gap. It is the reason good savers lie awake at night, and it is the reason this book exists.</w:t>
      </w:r>
    </w:p>
    <w:p>
      <w:pPr>
        <w:pStyle w:val="BodyText"/>
      </w:pPr>
      <w:r>
        <w:t xml:space="preserve">Here is the promise. By the last page you will know what your retirement paycheck looks like, where each dollar of it comes from, and what to do about the gap. You will learn it through the five steps of the Retirement Paycheck Blueprint, the same process I walk every family through at my own kitchen table.</w:t>
      </w:r>
    </w:p>
    <w:p>
      <w:pPr>
        <w:pStyle w:val="BodyText"/>
      </w:pPr>
      <w:r>
        <w:t xml:space="preserve">You don’t need to become a financial expert. You need a plan you can see on one page.</w:t>
      </w:r>
    </w:p>
    <w:p>
      <w:pPr>
        <w:pStyle w:val="BodyText"/>
      </w:pPr>
      <w:r>
        <w:t xml:space="preserve">Let’s build it together.</w:t>
      </w:r>
    </w:p>
    <w:p>
      <w:r>
        <w:br w:type="page"/>
      </w:r>
    </w:p>
    <w:bookmarkEnd w:id="26"/>
    <w:bookmarkStart w:id="31" w:name="chapter-1-your-paycheck-not-your-pile"/>
    <w:p>
      <w:pPr>
        <w:pStyle w:val="Heading1"/>
      </w:pPr>
      <w:r>
        <w:t xml:space="preserve">Chapter 1: Your Paycheck, Not Your Pile</w:t>
      </w:r>
    </w:p>
    <w:p>
      <w:pPr>
        <w:pStyle w:val="FirstParagraph"/>
      </w:pPr>
      <w:r>
        <w:t xml:space="preserve">For most of your working life, one number told you how you were doing. The balance went up, you felt good. It went down, you felt worse.</w:t>
      </w:r>
    </w:p>
    <w:p>
      <w:pPr>
        <w:pStyle w:val="BodyText"/>
      </w:pPr>
      <w:r>
        <w:t xml:space="preserve">Retirement changes the question. The number still matters, but it stops being the point. What matters now is the paycheck.</w:t>
      </w:r>
    </w:p>
    <w:p>
      <w:pPr>
        <w:pStyle w:val="BodyText"/>
      </w:pPr>
      <w:r>
        <w:t xml:space="preserve">Here is the simplest way I know to see it. Write down what you need to live on each month. Then write down what will arrive each month no matter what the market does: Social Security, a pension, any other dependable income. The difference between those two numbers is your Paycheck Gap.</w:t>
      </w:r>
    </w:p>
    <w:p>
      <w:pPr>
        <w:pStyle w:val="BodyText"/>
      </w:pPr>
      <w:r>
        <w:t xml:space="preserve">That gap is the job your savings have to do.</w:t>
      </w:r>
    </w:p>
    <w:p>
      <w:pPr>
        <w:pStyle w:val="BodyText"/>
      </w:pPr>
      <w:r>
        <w:t xml:space="preserve">When people see it written down for the first time, something shifts. A vague worry becomes a specific number. A specific number can be planned for.</w:t>
      </w:r>
    </w:p>
    <w:p>
      <w:r>
        <w:br w:type="page"/>
      </w:r>
    </w:p>
    <w:bookmarkStart w:id="30" w:name="worksheet-my-paycheck-gap"/>
    <w:p>
      <w:pPr>
        <w:pStyle w:val="Heading2"/>
      </w:pPr>
      <w:r>
        <w:t xml:space="preserve">Worksheet: My Paycheck Gap</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Per month</w:t>
            </w:r>
          </w:p>
        </w:tc>
      </w:tr>
      <w:tr>
        <w:tc>
          <w:tcPr/>
          <w:p>
            <w:pPr>
              <w:pStyle w:val="Compact"/>
              <w:jc w:val="left"/>
            </w:pPr>
            <w:r>
              <w:t xml:space="preserve">What I need to live on</w:t>
            </w:r>
          </w:p>
        </w:tc>
        <w:tc>
          <w:tcPr/>
          <w:p>
            <w:pPr>
              <w:pStyle w:val="Compact"/>
              <w:jc w:val="left"/>
            </w:pPr>
            <w:r>
              <w:t xml:space="preserve">$</w:t>
            </w:r>
          </w:p>
        </w:tc>
      </w:tr>
      <w:tr>
        <w:tc>
          <w:tcPr/>
          <w:p>
            <w:pPr>
              <w:pStyle w:val="Compact"/>
              <w:jc w:val="left"/>
            </w:pPr>
            <w:r>
              <w:t xml:space="preserve">Social Security (mine + spouse)</w:t>
            </w:r>
          </w:p>
        </w:tc>
        <w:tc>
          <w:tcPr/>
          <w:p>
            <w:pPr>
              <w:pStyle w:val="Compact"/>
              <w:jc w:val="left"/>
            </w:pPr>
            <w:r>
              <w:t xml:space="preserve">$</w:t>
            </w:r>
          </w:p>
        </w:tc>
      </w:tr>
      <w:tr>
        <w:tc>
          <w:tcPr/>
          <w:p>
            <w:pPr>
              <w:pStyle w:val="Compact"/>
              <w:jc w:val="left"/>
            </w:pPr>
            <w:r>
              <w:t xml:space="preserve">Pension or other dependable income</w:t>
            </w:r>
          </w:p>
        </w:tc>
        <w:tc>
          <w:tcPr/>
          <w:p>
            <w:pPr>
              <w:pStyle w:val="Compact"/>
              <w:jc w:val="left"/>
            </w:pPr>
            <w:r>
              <w:t xml:space="preserve">$</w:t>
            </w:r>
          </w:p>
        </w:tc>
      </w:tr>
      <w:tr>
        <w:tc>
          <w:tcPr/>
          <w:p>
            <w:pPr>
              <w:pStyle w:val="Compact"/>
              <w:jc w:val="left"/>
            </w:pPr>
            <w:r>
              <w:rPr>
                <w:bCs/>
                <w:b/>
              </w:rPr>
              <w:t xml:space="preserve">My Paycheck Gap</w:t>
            </w:r>
            <w:r>
              <w:t xml:space="preserve"> </w:t>
            </w:r>
            <w:r>
              <w:t xml:space="preserve">(need minus dependable income)</w:t>
            </w:r>
          </w:p>
        </w:tc>
        <w:tc>
          <w:tcPr/>
          <w:p>
            <w:pPr>
              <w:pStyle w:val="Compact"/>
              <w:jc w:val="left"/>
            </w:pPr>
            <w:r>
              <w:t xml:space="preserve">$</w:t>
            </w:r>
          </w:p>
        </w:tc>
      </w:tr>
    </w:tbl>
    <w:p>
      <w:pPr>
        <w:pStyle w:val="BodyText"/>
      </w:pPr>
      <w:r>
        <w:t xml:space="preserve">☐ I know my number, even roughly</w:t>
      </w:r>
    </w:p>
    <w:p>
      <w:pPr>
        <w:pStyle w:val="BodyText"/>
      </w:pPr>
      <w:r>
        <w:t xml:space="preserve">☐ I know which accounts will fill the gap</w:t>
      </w:r>
    </w:p>
    <w:p>
      <w:pPr>
        <w:pStyle w:val="BodyText"/>
      </w:pPr>
      <w:r>
        <w:t xml:space="preserve">Bring this page to your Blueprint Session.</w:t>
      </w:r>
    </w:p>
    <w:p>
      <w:r>
        <w:br w:type="page"/>
      </w:r>
    </w:p>
    <w:p>
      <w:pPr>
        <w:pStyle w:val="BodyText"/>
      </w:pPr>
      <w:r>
        <w:rPr>
          <w:bCs/>
          <w:b/>
        </w:rPr>
        <w:t xml:space="preserve">The One Thing:</w:t>
      </w:r>
      <w:r>
        <w:t xml:space="preserve"> </w:t>
      </w:r>
      <w:r>
        <w:t xml:space="preserve">Fill in the worksheet before you read Chapter 2. A rough number is fine.</w:t>
      </w:r>
    </w:p>
    <w:p>
      <w:pPr>
        <w:pStyle w:val="QR"/>
      </w:pPr>
      <w:r>
        <w:drawing>
          <wp:inline>
            <wp:extent cx="914400" cy="914400"/>
            <wp:effectExtent b="0" l="0" r="0" t="0"/>
            <wp:docPr descr="" title="" id="28" name="Picture"/>
            <a:graphic>
              <a:graphicData uri="http://schemas.openxmlformats.org/drawingml/2006/picture">
                <pic:pic>
                  <pic:nvPicPr>
                    <pic:cNvPr descr="qr/ch01-paycheck-gap.png" id="29" name="Picture"/>
                    <pic:cNvPicPr>
                      <a:picLocks noChangeArrowheads="1" noChangeAspect="1"/>
                    </pic:cNvPicPr>
                  </pic:nvPicPr>
                  <pic:blipFill>
                    <a:blip r:embed="rId27"/>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bCs/>
          <w:b/>
        </w:rPr>
        <w:t xml:space="preserve">Scan to download this worksheet</w:t>
      </w:r>
      <w:r>
        <w:br/>
      </w:r>
      <w:r>
        <w:t xml:space="preserve">ellisretirement.example/go/ch1</w:t>
      </w:r>
    </w:p>
    <w:p>
      <w:r>
        <w:br w:type="page"/>
      </w:r>
    </w:p>
    <w:bookmarkEnd w:id="30"/>
    <w:bookmarkEnd w:id="31"/>
    <w:bookmarkStart w:id="35" w:name="your-next-step"/>
    <w:p>
      <w:pPr>
        <w:pStyle w:val="Heading1"/>
      </w:pPr>
      <w:r>
        <w:t xml:space="preserve">Your Next Step</w:t>
      </w:r>
    </w:p>
    <w:p>
      <w:pPr>
        <w:pStyle w:val="FirstParagraph"/>
      </w:pPr>
      <w:r>
        <w:t xml:space="preserve">You have seen the gap. Closing it is a conversation. In a free Retirement Paycheck Blueprint Session, we will build your Retirement Paycheck Map together.</w:t>
      </w:r>
    </w:p>
    <w:p>
      <w:pPr>
        <w:pStyle w:val="QR"/>
      </w:pPr>
      <w:r>
        <w:drawing>
          <wp:inline>
            <wp:extent cx="914400" cy="914400"/>
            <wp:effectExtent b="0" l="0" r="0" t="0"/>
            <wp:docPr descr="" title="" id="33" name="Picture"/>
            <a:graphic>
              <a:graphicData uri="http://schemas.openxmlformats.org/drawingml/2006/picture">
                <pic:pic>
                  <pic:nvPicPr>
                    <pic:cNvPr descr="qr/appointment.png" id="34" name="Picture"/>
                    <pic:cNvPicPr>
                      <a:picLocks noChangeArrowheads="1" noChangeAspect="1"/>
                    </pic:cNvPicPr>
                  </pic:nvPicPr>
                  <pic:blipFill>
                    <a:blip r:embed="rId32"/>
                    <a:stretch>
                      <a:fillRect/>
                    </a:stretch>
                  </pic:blipFill>
                  <pic:spPr bwMode="auto">
                    <a:xfrm>
                      <a:off x="0" y="0"/>
                      <a:ext cx="914400" cy="914400"/>
                    </a:xfrm>
                    <a:prstGeom prst="rect">
                      <a:avLst/>
                    </a:prstGeom>
                    <a:noFill/>
                    <a:ln w="9525">
                      <a:noFill/>
                      <a:headEnd/>
                      <a:tailEnd/>
                    </a:ln>
                  </pic:spPr>
                </pic:pic>
              </a:graphicData>
            </a:graphic>
          </wp:inline>
        </w:drawing>
      </w:r>
    </w:p>
    <w:p>
      <w:pPr>
        <w:pStyle w:val="BodyText"/>
      </w:pPr>
      <w:r>
        <w:rPr>
          <w:bCs/>
          <w:b/>
        </w:rPr>
        <w:t xml:space="preserve">Scan to book your Blueprint Session</w:t>
      </w:r>
      <w:r>
        <w:br/>
      </w:r>
      <w:r>
        <w:t xml:space="preserve">ellisretirement.example/go/session</w:t>
      </w:r>
    </w:p>
    <w:bookmarkEnd w:id="35"/>
    <w:bookmarkStart w:id="36" w:name="about-the-author"/>
    <w:p>
      <w:pPr>
        <w:pStyle w:val="Heading1"/>
      </w:pPr>
      <w:r>
        <w:t xml:space="preserve">About the Author</w:t>
      </w:r>
    </w:p>
    <w:p>
      <w:pPr>
        <w:pStyle w:val="FirstParagraph"/>
      </w:pPr>
      <w:r>
        <w:t xml:space="preserve">Jordan Ellis is a fictional retirement income planner used to demonstrate this template.</w:t>
      </w:r>
    </w:p>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QR">
    <w:name w:val="QR"/>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32" Type="http://schemas.openxmlformats.org/officeDocument/2006/relationships/image" Target="media/rId32.png"/><Relationship Id="rId27" Type="http://schemas.openxmlformats.org/officeDocument/2006/relationships/image" Target="media/rId2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Paycheck Gap</dc:title>
  <dc:creator>Jordan Ellis</dc:creator>
  <cp:keywords/>
  <dcterms:created xsi:type="dcterms:W3CDTF">2026-10-19T12:58:39Z</dcterms:created>
  <dcterms:modified xsi:type="dcterms:W3CDTF">2026-10-19T12:58:39Z</dcterms:modified>
</cp:coreProperties>
</file>

<file path=docProps/custom.xml><?xml version="1.0" encoding="utf-8"?>
<Properties xmlns="http://schemas.openxmlformats.org/officeDocument/2006/custom-properties" xmlns:vt="http://schemas.openxmlformats.org/officeDocument/2006/docPropsVTypes"/>
</file>